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0F6CF" w14:textId="77777777" w:rsidR="006D31E9" w:rsidRDefault="006D31E9" w:rsidP="006D31E9">
      <w:pPr>
        <w:jc w:val="both"/>
        <w:rPr>
          <w:caps/>
        </w:rPr>
      </w:pPr>
      <w:r w:rsidRPr="003E4CF8">
        <w:rPr>
          <w:rFonts w:cs="Arial"/>
          <w:b/>
          <w:caps/>
          <w:noProof/>
          <w:color w:val="2E74B5" w:themeColor="accent5" w:themeShade="BF"/>
          <w:sz w:val="60"/>
          <w:szCs w:val="60"/>
          <w:lang w:eastAsia="cs-CZ"/>
        </w:rPr>
        <w:drawing>
          <wp:anchor distT="0" distB="0" distL="114300" distR="114300" simplePos="0" relativeHeight="251659264" behindDoc="1" locked="0" layoutInCell="1" allowOverlap="1" wp14:anchorId="1406DA8A" wp14:editId="65FAAD75">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CCC9C80" w14:textId="77777777" w:rsidR="006D31E9" w:rsidRPr="00160E58" w:rsidRDefault="006D31E9" w:rsidP="006D31E9">
      <w:pPr>
        <w:spacing w:after="0" w:line="240"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INTEGROVANÝ REGIONÁLNÍ OPERAČNÍ PROGRAM</w:t>
      </w:r>
    </w:p>
    <w:p w14:paraId="5DC0EDE1" w14:textId="77777777" w:rsidR="006D31E9" w:rsidRPr="00160E58" w:rsidRDefault="006D31E9" w:rsidP="006D31E9">
      <w:pPr>
        <w:spacing w:before="120" w:after="12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672A6659" w14:textId="77777777" w:rsidR="006D31E9" w:rsidRPr="00A13B54" w:rsidRDefault="006D31E9" w:rsidP="006D31E9">
      <w:pPr>
        <w:pStyle w:val="Zkladnodstavec"/>
        <w:jc w:val="center"/>
        <w:rPr>
          <w:rFonts w:asciiTheme="majorHAnsi" w:hAnsiTheme="majorHAnsi" w:cs="MyriadPro-Black"/>
          <w:caps/>
          <w:color w:val="2F5496" w:themeColor="accent1" w:themeShade="BF"/>
          <w:sz w:val="40"/>
          <w:szCs w:val="60"/>
        </w:rPr>
      </w:pPr>
    </w:p>
    <w:p w14:paraId="21751CD5" w14:textId="77777777" w:rsidR="006D31E9" w:rsidRPr="00160E58" w:rsidRDefault="006D31E9" w:rsidP="006D31E9">
      <w:pPr>
        <w:pStyle w:val="Zkladnodstavec"/>
        <w:spacing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SPECIFICKÁ PRAVIDLA PRO ŽADATELE A PŘÍJEMCE</w:t>
      </w:r>
    </w:p>
    <w:p w14:paraId="0A37501D" w14:textId="77777777" w:rsidR="006D31E9" w:rsidRPr="00160E58" w:rsidRDefault="006D31E9" w:rsidP="006D31E9">
      <w:pPr>
        <w:pStyle w:val="Zkladnodstavec"/>
        <w:rPr>
          <w:rFonts w:ascii="Arial" w:hAnsi="Arial" w:cs="Arial"/>
          <w:b/>
          <w:bCs/>
          <w:color w:val="2F5496" w:themeColor="accent1" w:themeShade="BF"/>
          <w:sz w:val="36"/>
          <w:szCs w:val="36"/>
        </w:rPr>
      </w:pPr>
    </w:p>
    <w:p w14:paraId="54F8EA98" w14:textId="7650418D" w:rsidR="006D31E9" w:rsidRDefault="006D31E9" w:rsidP="006D31E9">
      <w:pPr>
        <w:pStyle w:val="Zkladnodstavec"/>
        <w:jc w:val="center"/>
        <w:rPr>
          <w:rFonts w:ascii="Arial" w:hAnsi="Arial" w:cs="Arial"/>
          <w:b/>
          <w:bCs/>
          <w:color w:val="2F5496" w:themeColor="accent1" w:themeShade="BF"/>
          <w:sz w:val="44"/>
          <w:szCs w:val="44"/>
        </w:rPr>
      </w:pPr>
      <w:r>
        <w:rPr>
          <w:rFonts w:ascii="Arial" w:hAnsi="Arial" w:cs="Arial"/>
          <w:b/>
          <w:bCs/>
          <w:color w:val="2F5496" w:themeColor="accent1" w:themeShade="BF"/>
          <w:sz w:val="44"/>
          <w:szCs w:val="44"/>
        </w:rPr>
        <w:t xml:space="preserve">PŘÍLOHA </w:t>
      </w:r>
      <w:r w:rsidR="00EC75A8">
        <w:rPr>
          <w:rFonts w:ascii="Arial" w:hAnsi="Arial" w:cs="Arial"/>
          <w:b/>
          <w:bCs/>
          <w:color w:val="2F5496" w:themeColor="accent1" w:themeShade="BF"/>
          <w:sz w:val="44"/>
          <w:szCs w:val="44"/>
        </w:rPr>
        <w:t>1</w:t>
      </w:r>
      <w:r w:rsidR="007248FD">
        <w:rPr>
          <w:rFonts w:ascii="Arial" w:hAnsi="Arial" w:cs="Arial"/>
          <w:b/>
          <w:bCs/>
          <w:color w:val="2F5496" w:themeColor="accent1" w:themeShade="BF"/>
          <w:sz w:val="44"/>
          <w:szCs w:val="44"/>
        </w:rPr>
        <w:t>7</w:t>
      </w:r>
    </w:p>
    <w:p w14:paraId="2BF53893" w14:textId="77777777" w:rsidR="006D31E9" w:rsidRDefault="006D31E9" w:rsidP="006D31E9">
      <w:pPr>
        <w:pStyle w:val="Zkladnodstavec"/>
        <w:jc w:val="center"/>
        <w:rPr>
          <w:rFonts w:ascii="Arial" w:hAnsi="Arial" w:cs="Arial"/>
          <w:b/>
          <w:bCs/>
          <w:smallCaps/>
          <w:color w:val="2F5496" w:themeColor="accent1" w:themeShade="BF"/>
          <w:sz w:val="44"/>
          <w:szCs w:val="44"/>
        </w:rPr>
      </w:pPr>
      <w:r>
        <w:rPr>
          <w:rFonts w:ascii="Arial" w:hAnsi="Arial" w:cs="Arial"/>
          <w:b/>
          <w:bCs/>
          <w:smallCaps/>
          <w:color w:val="2F5496" w:themeColor="accent1" w:themeShade="BF"/>
          <w:sz w:val="44"/>
          <w:szCs w:val="44"/>
        </w:rPr>
        <w:t xml:space="preserve">Pověřovací akt </w:t>
      </w:r>
      <w:r w:rsidR="004D4621">
        <w:rPr>
          <w:rFonts w:ascii="Arial" w:hAnsi="Arial" w:cs="Arial"/>
          <w:b/>
          <w:bCs/>
          <w:smallCaps/>
          <w:color w:val="2F5496" w:themeColor="accent1" w:themeShade="BF"/>
          <w:sz w:val="44"/>
          <w:szCs w:val="44"/>
        </w:rPr>
        <w:t>–</w:t>
      </w:r>
      <w:r>
        <w:rPr>
          <w:rFonts w:ascii="Arial" w:hAnsi="Arial" w:cs="Arial"/>
          <w:b/>
          <w:bCs/>
          <w:smallCaps/>
          <w:color w:val="2F5496" w:themeColor="accent1" w:themeShade="BF"/>
          <w:sz w:val="44"/>
          <w:szCs w:val="44"/>
        </w:rPr>
        <w:t xml:space="preserve"> vzor</w:t>
      </w:r>
    </w:p>
    <w:p w14:paraId="11D4C163" w14:textId="530F0E4D" w:rsidR="004D4621" w:rsidRPr="004D4621" w:rsidRDefault="004D4621" w:rsidP="004D4621">
      <w:pPr>
        <w:pStyle w:val="Zkladnodstavec"/>
        <w:jc w:val="both"/>
        <w:rPr>
          <w:rFonts w:ascii="Arial" w:hAnsi="Arial" w:cs="Arial"/>
          <w:smallCaps/>
          <w:color w:val="2F5496" w:themeColor="accent1" w:themeShade="BF"/>
        </w:rPr>
      </w:pPr>
      <w:r w:rsidRPr="4665668D">
        <w:rPr>
          <w:rFonts w:ascii="Arial" w:hAnsi="Arial" w:cs="Arial"/>
          <w:smallCaps/>
          <w:color w:val="2F5496" w:themeColor="accent1" w:themeShade="BF"/>
        </w:rPr>
        <w:t xml:space="preserve">Podle </w:t>
      </w:r>
      <w:r w:rsidR="31103623" w:rsidRPr="4665668D">
        <w:rPr>
          <w:rFonts w:ascii="Arial" w:hAnsi="Arial" w:cs="Arial"/>
          <w:smallCaps/>
          <w:color w:val="2F5496" w:themeColor="accent1" w:themeShade="BF"/>
        </w:rPr>
        <w:t>r</w:t>
      </w:r>
      <w:r w:rsidRPr="4665668D">
        <w:rPr>
          <w:rFonts w:ascii="Arial" w:hAnsi="Arial" w:cs="Arial"/>
          <w:smallCaps/>
          <w:color w:val="2F5496" w:themeColor="accent1" w:themeShade="BF"/>
        </w:rPr>
        <w:t>ozhodnutí Komise o použití čl. 106 odst. 2 SFEU na státní podporu ve formě vyrovnávací platby za závazek veřejné služby udělené určitým podnikům pověřeným poskytováním služeb obecného hospodářského zájmu (2012/21/EU)</w:t>
      </w:r>
    </w:p>
    <w:p w14:paraId="06E17D80" w14:textId="77777777" w:rsidR="00D648AA" w:rsidRDefault="00D648AA" w:rsidP="00D648AA">
      <w:pPr>
        <w:pStyle w:val="Zkladnodstavec"/>
        <w:spacing w:before="240"/>
        <w:jc w:val="center"/>
        <w:rPr>
          <w:rFonts w:ascii="Arial" w:hAnsi="Arial" w:cs="Arial"/>
          <w:caps/>
          <w:color w:val="auto"/>
          <w:sz w:val="28"/>
          <w:szCs w:val="28"/>
        </w:rPr>
      </w:pPr>
      <w:r>
        <w:rPr>
          <w:rFonts w:ascii="Arial" w:hAnsi="Arial" w:cs="Arial"/>
          <w:caps/>
          <w:color w:val="auto"/>
          <w:sz w:val="28"/>
          <w:szCs w:val="28"/>
        </w:rPr>
        <w:t xml:space="preserve">101. výzva IROP </w:t>
      </w:r>
      <w:r>
        <w:rPr>
          <w:rFonts w:ascii="Arial" w:hAnsi="Arial" w:cs="Arial"/>
          <w:sz w:val="28"/>
          <w:szCs w:val="28"/>
        </w:rPr>
        <w:t>– SOCIÁLNÍ BYDLENÍ II. – SC 4.2 (MRR)</w:t>
      </w:r>
    </w:p>
    <w:p w14:paraId="139850C0" w14:textId="77777777" w:rsidR="00D648AA" w:rsidRDefault="00D648AA" w:rsidP="00D648AA">
      <w:pPr>
        <w:pStyle w:val="Zkladnodstavec"/>
        <w:jc w:val="center"/>
        <w:rPr>
          <w:rFonts w:ascii="Arial" w:hAnsi="Arial" w:cs="Arial"/>
          <w:color w:val="auto"/>
          <w:sz w:val="28"/>
          <w:szCs w:val="28"/>
        </w:rPr>
      </w:pPr>
      <w:r>
        <w:rPr>
          <w:rFonts w:ascii="Arial" w:hAnsi="Arial" w:cs="Arial"/>
          <w:color w:val="auto"/>
          <w:sz w:val="28"/>
          <w:szCs w:val="28"/>
        </w:rPr>
        <w:t xml:space="preserve">102. VÝZVA IROP </w:t>
      </w:r>
      <w:r>
        <w:rPr>
          <w:rFonts w:ascii="Arial" w:hAnsi="Arial" w:cs="Arial"/>
          <w:sz w:val="28"/>
          <w:szCs w:val="28"/>
        </w:rPr>
        <w:t>–</w:t>
      </w:r>
      <w:r>
        <w:rPr>
          <w:rFonts w:ascii="Arial" w:hAnsi="Arial" w:cs="Arial"/>
          <w:color w:val="auto"/>
          <w:sz w:val="28"/>
          <w:szCs w:val="28"/>
        </w:rPr>
        <w:t xml:space="preserve"> SOCIÁLNÍ BYDLENÍ II. – SC 4.2 (PR)</w:t>
      </w:r>
    </w:p>
    <w:p w14:paraId="555E8088" w14:textId="77777777" w:rsidR="00D648AA" w:rsidRDefault="00D648AA" w:rsidP="00D648AA">
      <w:pPr>
        <w:pStyle w:val="Zkladnodstavec"/>
        <w:jc w:val="center"/>
        <w:rPr>
          <w:rFonts w:ascii="Arial" w:hAnsi="Arial" w:cs="Arial"/>
          <w:caps/>
          <w:color w:val="auto"/>
          <w:sz w:val="28"/>
          <w:szCs w:val="28"/>
        </w:rPr>
      </w:pPr>
      <w:r>
        <w:rPr>
          <w:rFonts w:ascii="Arial" w:hAnsi="Arial" w:cs="Arial"/>
          <w:caps/>
          <w:color w:val="auto"/>
          <w:sz w:val="28"/>
          <w:szCs w:val="28"/>
        </w:rPr>
        <w:t>115. výzva IROP – SOCIÁLNÍ bydlení II. KPSV+ – SC 4.2 (MRR)</w:t>
      </w:r>
    </w:p>
    <w:p w14:paraId="2575D6BF" w14:textId="77777777" w:rsidR="00D648AA" w:rsidRDefault="00D648AA" w:rsidP="00D648AA">
      <w:pPr>
        <w:pStyle w:val="Zkladnodstavec"/>
        <w:jc w:val="center"/>
        <w:rPr>
          <w:rFonts w:ascii="Arial" w:hAnsi="Arial" w:cs="Arial"/>
          <w:caps/>
          <w:color w:val="auto"/>
          <w:sz w:val="28"/>
          <w:szCs w:val="28"/>
        </w:rPr>
      </w:pPr>
      <w:r>
        <w:rPr>
          <w:rFonts w:ascii="Arial" w:hAnsi="Arial" w:cs="Arial"/>
          <w:caps/>
          <w:color w:val="auto"/>
          <w:sz w:val="28"/>
          <w:szCs w:val="28"/>
        </w:rPr>
        <w:t>116. výzva IROP – SOCIÁLNÍ bydlení II. KPSV+ – SC 4.2 (PR)</w:t>
      </w:r>
    </w:p>
    <w:p w14:paraId="35A78427" w14:textId="77777777" w:rsidR="00BA1A00" w:rsidRDefault="00BA1A00" w:rsidP="00BA1A00">
      <w:pPr>
        <w:jc w:val="center"/>
        <w:rPr>
          <w:rFonts w:ascii="Arial" w:hAnsi="Arial" w:cs="Arial"/>
          <w:caps/>
          <w:color w:val="7F7F7F" w:themeColor="text1" w:themeTint="80"/>
          <w:sz w:val="32"/>
          <w:szCs w:val="32"/>
        </w:rPr>
        <w:sectPr w:rsidR="00BA1A00" w:rsidSect="004B52BF">
          <w:headerReference w:type="default" r:id="rId11"/>
          <w:footerReference w:type="default" r:id="rId12"/>
          <w:footerReference w:type="first" r:id="rId13"/>
          <w:pgSz w:w="11906" w:h="16838"/>
          <w:pgMar w:top="1418" w:right="1133" w:bottom="1418" w:left="1418" w:header="709" w:footer="709" w:gutter="0"/>
          <w:cols w:space="708"/>
          <w:titlePg/>
          <w:docGrid w:linePitch="360"/>
        </w:sectPr>
      </w:pPr>
      <w:r w:rsidRPr="00D32E25">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2F256519" w14:textId="77777777" w:rsidR="003E6D6B" w:rsidRDefault="003E6D6B" w:rsidP="00F762D9">
      <w:pPr>
        <w:spacing w:line="271" w:lineRule="auto"/>
        <w:jc w:val="center"/>
        <w:rPr>
          <w:rFonts w:ascii="Arial" w:hAnsi="Arial" w:cs="Arial"/>
          <w:b/>
          <w:caps/>
          <w:sz w:val="24"/>
          <w:szCs w:val="24"/>
        </w:rPr>
      </w:pPr>
    </w:p>
    <w:p w14:paraId="6203124E" w14:textId="7A266CB5" w:rsidR="006D31E9" w:rsidRPr="00F762D9" w:rsidRDefault="006D31E9" w:rsidP="00F762D9">
      <w:pPr>
        <w:spacing w:line="271" w:lineRule="auto"/>
        <w:jc w:val="center"/>
        <w:rPr>
          <w:rFonts w:ascii="Arial" w:hAnsi="Arial" w:cs="Arial"/>
          <w:b/>
          <w:caps/>
          <w:sz w:val="24"/>
          <w:szCs w:val="24"/>
        </w:rPr>
      </w:pPr>
      <w:r w:rsidRPr="00F762D9">
        <w:rPr>
          <w:rFonts w:ascii="Arial" w:hAnsi="Arial" w:cs="Arial"/>
          <w:b/>
          <w:caps/>
          <w:sz w:val="24"/>
          <w:szCs w:val="24"/>
        </w:rPr>
        <w:t>Pověřovací akt</w:t>
      </w:r>
    </w:p>
    <w:p w14:paraId="02EB378F" w14:textId="77777777" w:rsidR="006D31E9" w:rsidRPr="00F762D9" w:rsidRDefault="006D31E9" w:rsidP="00F762D9">
      <w:pPr>
        <w:spacing w:line="271" w:lineRule="auto"/>
        <w:jc w:val="center"/>
        <w:rPr>
          <w:rFonts w:ascii="Arial" w:hAnsi="Arial" w:cs="Arial"/>
        </w:rPr>
      </w:pPr>
    </w:p>
    <w:p w14:paraId="21F77511" w14:textId="77777777" w:rsidR="006D31E9" w:rsidRPr="00F762D9" w:rsidRDefault="006D31E9" w:rsidP="00F762D9">
      <w:pPr>
        <w:spacing w:line="271" w:lineRule="auto"/>
        <w:jc w:val="center"/>
        <w:rPr>
          <w:rFonts w:ascii="Arial" w:hAnsi="Arial" w:cs="Arial"/>
          <w:b/>
          <w:smallCaps/>
        </w:rPr>
      </w:pPr>
      <w:r w:rsidRPr="00F762D9">
        <w:rPr>
          <w:rFonts w:ascii="Arial" w:hAnsi="Arial" w:cs="Arial"/>
          <w:b/>
          <w:smallCaps/>
        </w:rPr>
        <w:t>Smluvní strany</w:t>
      </w:r>
    </w:p>
    <w:p w14:paraId="6A05A809" w14:textId="77777777" w:rsidR="006D31E9" w:rsidRPr="00F762D9" w:rsidRDefault="006D31E9" w:rsidP="00F762D9">
      <w:pPr>
        <w:spacing w:line="271" w:lineRule="auto"/>
        <w:rPr>
          <w:rFonts w:ascii="Arial" w:hAnsi="Arial" w:cs="Arial"/>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7"/>
        <w:gridCol w:w="4625"/>
      </w:tblGrid>
      <w:tr w:rsidR="006D31E9" w:rsidRPr="00F762D9" w14:paraId="032DB793" w14:textId="77777777" w:rsidTr="4665668D">
        <w:tc>
          <w:tcPr>
            <w:tcW w:w="4515" w:type="dxa"/>
          </w:tcPr>
          <w:p w14:paraId="6E863FFA" w14:textId="77777777" w:rsidR="006D31E9" w:rsidRPr="00F762D9" w:rsidRDefault="006D31E9" w:rsidP="00F762D9">
            <w:pPr>
              <w:spacing w:line="271" w:lineRule="auto"/>
              <w:rPr>
                <w:rFonts w:ascii="Arial" w:hAnsi="Arial" w:cs="Arial"/>
                <w:b/>
              </w:rPr>
            </w:pPr>
            <w:r w:rsidRPr="00F762D9">
              <w:rPr>
                <w:rFonts w:ascii="Arial" w:hAnsi="Arial" w:cs="Arial"/>
                <w:b/>
              </w:rPr>
              <w:t>Pověřovatel</w:t>
            </w:r>
          </w:p>
        </w:tc>
        <w:tc>
          <w:tcPr>
            <w:tcW w:w="4697" w:type="dxa"/>
          </w:tcPr>
          <w:p w14:paraId="24497C14" w14:textId="13A88AB4" w:rsidR="006D31E9" w:rsidRPr="00F762D9" w:rsidRDefault="006D31E9" w:rsidP="4665668D">
            <w:pPr>
              <w:spacing w:line="271" w:lineRule="auto"/>
              <w:rPr>
                <w:rFonts w:ascii="Arial" w:hAnsi="Arial" w:cs="Arial"/>
                <w:b/>
                <w:bCs/>
              </w:rPr>
            </w:pPr>
            <w:r w:rsidRPr="4665668D">
              <w:rPr>
                <w:rFonts w:ascii="Arial" w:hAnsi="Arial" w:cs="Arial"/>
                <w:b/>
                <w:bCs/>
              </w:rPr>
              <w:t>Ministerstvo pro místní rozvoj</w:t>
            </w:r>
          </w:p>
        </w:tc>
      </w:tr>
      <w:tr w:rsidR="006D31E9" w:rsidRPr="00F762D9" w14:paraId="762922FA" w14:textId="77777777" w:rsidTr="4665668D">
        <w:tc>
          <w:tcPr>
            <w:tcW w:w="4515" w:type="dxa"/>
          </w:tcPr>
          <w:p w14:paraId="29ACB0A2" w14:textId="77777777" w:rsidR="006D31E9" w:rsidRPr="00F762D9" w:rsidRDefault="006D31E9" w:rsidP="00F762D9">
            <w:pPr>
              <w:spacing w:line="271" w:lineRule="auto"/>
              <w:rPr>
                <w:rFonts w:ascii="Arial" w:hAnsi="Arial" w:cs="Arial"/>
              </w:rPr>
            </w:pPr>
            <w:r w:rsidRPr="00F762D9">
              <w:rPr>
                <w:rFonts w:ascii="Arial" w:hAnsi="Arial" w:cs="Arial"/>
              </w:rPr>
              <w:t>Adresa:</w:t>
            </w:r>
          </w:p>
        </w:tc>
        <w:tc>
          <w:tcPr>
            <w:tcW w:w="4697" w:type="dxa"/>
          </w:tcPr>
          <w:p w14:paraId="2343A196" w14:textId="2684F149" w:rsidR="006D31E9" w:rsidRPr="00F762D9" w:rsidRDefault="006D31E9" w:rsidP="00F762D9">
            <w:pPr>
              <w:spacing w:line="271" w:lineRule="auto"/>
              <w:rPr>
                <w:rFonts w:ascii="Arial" w:hAnsi="Arial" w:cs="Arial"/>
              </w:rPr>
            </w:pPr>
            <w:r w:rsidRPr="00F762D9">
              <w:rPr>
                <w:rFonts w:ascii="Arial" w:hAnsi="Arial" w:cs="Arial"/>
              </w:rPr>
              <w:t xml:space="preserve">Staroměstské náměstí 6, 110 </w:t>
            </w:r>
            <w:r w:rsidR="00511073">
              <w:rPr>
                <w:rFonts w:ascii="Arial" w:hAnsi="Arial" w:cs="Arial"/>
              </w:rPr>
              <w:t>00</w:t>
            </w:r>
            <w:r w:rsidRPr="00F762D9">
              <w:rPr>
                <w:rFonts w:ascii="Arial" w:hAnsi="Arial" w:cs="Arial"/>
              </w:rPr>
              <w:t xml:space="preserve"> Praha 1</w:t>
            </w:r>
          </w:p>
        </w:tc>
      </w:tr>
      <w:tr w:rsidR="006D31E9" w:rsidRPr="00F762D9" w14:paraId="1C4BCE30" w14:textId="77777777" w:rsidTr="4665668D">
        <w:tc>
          <w:tcPr>
            <w:tcW w:w="4515" w:type="dxa"/>
          </w:tcPr>
          <w:p w14:paraId="6A8B3FFC" w14:textId="77777777" w:rsidR="006D31E9" w:rsidRPr="00F762D9" w:rsidRDefault="006D31E9" w:rsidP="00F762D9">
            <w:pPr>
              <w:spacing w:line="271" w:lineRule="auto"/>
              <w:rPr>
                <w:rFonts w:ascii="Arial" w:hAnsi="Arial" w:cs="Arial"/>
              </w:rPr>
            </w:pPr>
            <w:r w:rsidRPr="00F762D9">
              <w:rPr>
                <w:rFonts w:ascii="Arial" w:hAnsi="Arial" w:cs="Arial"/>
              </w:rPr>
              <w:t>Tel.:</w:t>
            </w:r>
          </w:p>
        </w:tc>
        <w:tc>
          <w:tcPr>
            <w:tcW w:w="4697" w:type="dxa"/>
          </w:tcPr>
          <w:p w14:paraId="448D6D5E" w14:textId="77777777" w:rsidR="006D31E9" w:rsidRPr="00F762D9" w:rsidRDefault="006D31E9" w:rsidP="00F762D9">
            <w:pPr>
              <w:spacing w:line="271" w:lineRule="auto"/>
              <w:rPr>
                <w:rFonts w:ascii="Arial" w:hAnsi="Arial" w:cs="Arial"/>
              </w:rPr>
            </w:pPr>
            <w:r w:rsidRPr="00F762D9">
              <w:rPr>
                <w:rFonts w:ascii="Arial" w:hAnsi="Arial" w:cs="Arial"/>
                <w:color w:val="231F20"/>
              </w:rPr>
              <w:t>+420 224 861 111; +420 224 861 333</w:t>
            </w:r>
          </w:p>
        </w:tc>
      </w:tr>
      <w:tr w:rsidR="006D31E9" w:rsidRPr="00F762D9" w14:paraId="013F66E0" w14:textId="77777777" w:rsidTr="4665668D">
        <w:tc>
          <w:tcPr>
            <w:tcW w:w="4515" w:type="dxa"/>
          </w:tcPr>
          <w:p w14:paraId="6A14431D" w14:textId="77777777" w:rsidR="006D31E9" w:rsidRPr="00F762D9" w:rsidRDefault="006D31E9" w:rsidP="00F762D9">
            <w:pPr>
              <w:spacing w:line="271" w:lineRule="auto"/>
              <w:rPr>
                <w:rFonts w:ascii="Arial" w:hAnsi="Arial" w:cs="Arial"/>
              </w:rPr>
            </w:pPr>
            <w:r w:rsidRPr="00F762D9">
              <w:rPr>
                <w:rFonts w:ascii="Arial" w:hAnsi="Arial" w:cs="Arial"/>
              </w:rPr>
              <w:t>IČ</w:t>
            </w:r>
            <w:r w:rsidR="005C69A9">
              <w:rPr>
                <w:rFonts w:ascii="Arial" w:hAnsi="Arial" w:cs="Arial"/>
              </w:rPr>
              <w:t>O</w:t>
            </w:r>
            <w:r w:rsidRPr="00F762D9">
              <w:rPr>
                <w:rFonts w:ascii="Arial" w:hAnsi="Arial" w:cs="Arial"/>
              </w:rPr>
              <w:t>:</w:t>
            </w:r>
          </w:p>
        </w:tc>
        <w:tc>
          <w:tcPr>
            <w:tcW w:w="4697" w:type="dxa"/>
          </w:tcPr>
          <w:p w14:paraId="633AC764" w14:textId="77777777" w:rsidR="006D31E9" w:rsidRPr="00F762D9" w:rsidRDefault="006D31E9" w:rsidP="00F762D9">
            <w:pPr>
              <w:spacing w:line="271" w:lineRule="auto"/>
              <w:rPr>
                <w:rFonts w:ascii="Arial" w:hAnsi="Arial" w:cs="Arial"/>
              </w:rPr>
            </w:pPr>
            <w:r w:rsidRPr="00F762D9">
              <w:rPr>
                <w:rFonts w:ascii="Arial" w:hAnsi="Arial" w:cs="Arial"/>
              </w:rPr>
              <w:t>66 00 2222</w:t>
            </w:r>
          </w:p>
        </w:tc>
      </w:tr>
      <w:tr w:rsidR="006D31E9" w:rsidRPr="00F762D9" w14:paraId="0B296CED" w14:textId="77777777" w:rsidTr="4665668D">
        <w:tc>
          <w:tcPr>
            <w:tcW w:w="4515" w:type="dxa"/>
          </w:tcPr>
          <w:p w14:paraId="712D7049" w14:textId="77777777" w:rsidR="006D31E9" w:rsidRPr="00F762D9" w:rsidRDefault="006D31E9" w:rsidP="00F762D9">
            <w:pPr>
              <w:spacing w:line="271" w:lineRule="auto"/>
              <w:rPr>
                <w:rFonts w:ascii="Arial" w:hAnsi="Arial" w:cs="Arial"/>
              </w:rPr>
            </w:pPr>
            <w:r w:rsidRPr="00F762D9">
              <w:rPr>
                <w:rFonts w:ascii="Arial" w:hAnsi="Arial" w:cs="Arial"/>
              </w:rPr>
              <w:t>DIČ:</w:t>
            </w:r>
          </w:p>
        </w:tc>
        <w:tc>
          <w:tcPr>
            <w:tcW w:w="4697" w:type="dxa"/>
          </w:tcPr>
          <w:p w14:paraId="5A39BBE3" w14:textId="77777777" w:rsidR="006D31E9" w:rsidRPr="00F762D9" w:rsidRDefault="006D31E9" w:rsidP="00F762D9">
            <w:pPr>
              <w:spacing w:line="271" w:lineRule="auto"/>
              <w:rPr>
                <w:rFonts w:ascii="Arial" w:hAnsi="Arial" w:cs="Arial"/>
              </w:rPr>
            </w:pPr>
          </w:p>
        </w:tc>
      </w:tr>
      <w:tr w:rsidR="006D31E9" w:rsidRPr="00F762D9" w14:paraId="1AC4E3D9" w14:textId="77777777" w:rsidTr="4665668D">
        <w:tc>
          <w:tcPr>
            <w:tcW w:w="4515" w:type="dxa"/>
          </w:tcPr>
          <w:p w14:paraId="186FA834" w14:textId="77777777" w:rsidR="006D31E9" w:rsidRPr="00F762D9" w:rsidRDefault="006D31E9" w:rsidP="00F762D9">
            <w:pPr>
              <w:spacing w:line="271" w:lineRule="auto"/>
              <w:rPr>
                <w:rFonts w:ascii="Arial" w:hAnsi="Arial" w:cs="Arial"/>
              </w:rPr>
            </w:pPr>
            <w:r w:rsidRPr="00F762D9">
              <w:rPr>
                <w:rFonts w:ascii="Arial" w:hAnsi="Arial" w:cs="Arial"/>
              </w:rPr>
              <w:t>Bankovní spojení:</w:t>
            </w:r>
          </w:p>
        </w:tc>
        <w:tc>
          <w:tcPr>
            <w:tcW w:w="4697" w:type="dxa"/>
          </w:tcPr>
          <w:p w14:paraId="41C8F396" w14:textId="77777777" w:rsidR="006D31E9" w:rsidRPr="00F762D9" w:rsidRDefault="006D31E9" w:rsidP="00F762D9">
            <w:pPr>
              <w:spacing w:line="271" w:lineRule="auto"/>
              <w:rPr>
                <w:rFonts w:ascii="Arial" w:hAnsi="Arial" w:cs="Arial"/>
              </w:rPr>
            </w:pPr>
          </w:p>
        </w:tc>
      </w:tr>
      <w:tr w:rsidR="006D31E9" w:rsidRPr="00F762D9" w14:paraId="03D6093C" w14:textId="77777777" w:rsidTr="4665668D">
        <w:tc>
          <w:tcPr>
            <w:tcW w:w="4515" w:type="dxa"/>
          </w:tcPr>
          <w:p w14:paraId="0EFA351B" w14:textId="77777777" w:rsidR="006D31E9" w:rsidRPr="00F762D9" w:rsidRDefault="006D31E9" w:rsidP="00F762D9">
            <w:pPr>
              <w:spacing w:line="271" w:lineRule="auto"/>
              <w:rPr>
                <w:rFonts w:ascii="Arial" w:hAnsi="Arial" w:cs="Arial"/>
              </w:rPr>
            </w:pPr>
            <w:r w:rsidRPr="00F762D9">
              <w:rPr>
                <w:rFonts w:ascii="Arial" w:hAnsi="Arial" w:cs="Arial"/>
              </w:rPr>
              <w:t>Číslo účtu:</w:t>
            </w:r>
          </w:p>
        </w:tc>
        <w:tc>
          <w:tcPr>
            <w:tcW w:w="4697" w:type="dxa"/>
          </w:tcPr>
          <w:p w14:paraId="72A3D3EC" w14:textId="77777777" w:rsidR="006D31E9" w:rsidRPr="00F762D9" w:rsidRDefault="006D31E9" w:rsidP="00F762D9">
            <w:pPr>
              <w:spacing w:line="271" w:lineRule="auto"/>
              <w:rPr>
                <w:rFonts w:ascii="Arial" w:hAnsi="Arial" w:cs="Arial"/>
              </w:rPr>
            </w:pPr>
          </w:p>
        </w:tc>
      </w:tr>
      <w:tr w:rsidR="006D31E9" w:rsidRPr="00F762D9" w14:paraId="19BB37A1" w14:textId="77777777" w:rsidTr="4665668D">
        <w:tc>
          <w:tcPr>
            <w:tcW w:w="4515" w:type="dxa"/>
          </w:tcPr>
          <w:p w14:paraId="398DFD2A" w14:textId="77777777" w:rsidR="006D31E9" w:rsidRPr="00F762D9" w:rsidRDefault="006D31E9" w:rsidP="00F762D9">
            <w:pPr>
              <w:spacing w:line="271" w:lineRule="auto"/>
              <w:rPr>
                <w:rFonts w:ascii="Arial" w:hAnsi="Arial" w:cs="Arial"/>
              </w:rPr>
            </w:pPr>
            <w:r w:rsidRPr="00F762D9">
              <w:rPr>
                <w:rFonts w:ascii="Arial" w:hAnsi="Arial" w:cs="Arial"/>
              </w:rPr>
              <w:t xml:space="preserve">Zápis v obchodním rejstříku: </w:t>
            </w:r>
          </w:p>
        </w:tc>
        <w:tc>
          <w:tcPr>
            <w:tcW w:w="4697" w:type="dxa"/>
          </w:tcPr>
          <w:p w14:paraId="0D0B940D" w14:textId="77777777" w:rsidR="006D31E9" w:rsidRPr="00F762D9" w:rsidRDefault="006D31E9" w:rsidP="00F762D9">
            <w:pPr>
              <w:spacing w:line="271" w:lineRule="auto"/>
              <w:rPr>
                <w:rFonts w:ascii="Arial" w:hAnsi="Arial" w:cs="Arial"/>
              </w:rPr>
            </w:pPr>
          </w:p>
        </w:tc>
      </w:tr>
      <w:tr w:rsidR="006D31E9" w:rsidRPr="00F762D9" w14:paraId="3544D17A" w14:textId="77777777" w:rsidTr="4665668D">
        <w:tc>
          <w:tcPr>
            <w:tcW w:w="4515" w:type="dxa"/>
          </w:tcPr>
          <w:p w14:paraId="2A388DB1" w14:textId="77777777" w:rsidR="006D31E9" w:rsidRPr="00F762D9" w:rsidRDefault="006D31E9" w:rsidP="00F762D9">
            <w:pPr>
              <w:spacing w:line="271" w:lineRule="auto"/>
              <w:rPr>
                <w:rFonts w:ascii="Arial" w:hAnsi="Arial" w:cs="Arial"/>
              </w:rPr>
            </w:pPr>
            <w:r w:rsidRPr="00F762D9">
              <w:rPr>
                <w:rFonts w:ascii="Arial" w:hAnsi="Arial" w:cs="Arial"/>
              </w:rPr>
              <w:t>Zastoupený:</w:t>
            </w:r>
          </w:p>
        </w:tc>
        <w:tc>
          <w:tcPr>
            <w:tcW w:w="4697" w:type="dxa"/>
          </w:tcPr>
          <w:p w14:paraId="0E27B00A" w14:textId="77777777" w:rsidR="006D31E9" w:rsidRPr="00F762D9" w:rsidRDefault="006D31E9" w:rsidP="00F762D9">
            <w:pPr>
              <w:spacing w:line="271" w:lineRule="auto"/>
              <w:rPr>
                <w:rFonts w:ascii="Arial" w:hAnsi="Arial" w:cs="Arial"/>
              </w:rPr>
            </w:pPr>
          </w:p>
        </w:tc>
      </w:tr>
      <w:tr w:rsidR="006D31E9" w:rsidRPr="00F762D9" w14:paraId="51A3C23E" w14:textId="77777777" w:rsidTr="4665668D">
        <w:tc>
          <w:tcPr>
            <w:tcW w:w="4515" w:type="dxa"/>
          </w:tcPr>
          <w:p w14:paraId="3E0A6DEF" w14:textId="77777777" w:rsidR="006D31E9" w:rsidRPr="00F762D9" w:rsidRDefault="006D31E9" w:rsidP="00F762D9">
            <w:pPr>
              <w:spacing w:line="271" w:lineRule="auto"/>
              <w:rPr>
                <w:rFonts w:ascii="Arial" w:hAnsi="Arial" w:cs="Arial"/>
              </w:rPr>
            </w:pPr>
            <w:r w:rsidRPr="00F762D9">
              <w:rPr>
                <w:rFonts w:ascii="Arial" w:hAnsi="Arial" w:cs="Arial"/>
              </w:rPr>
              <w:t>(dále jen „pověřovatel“) na straně jedné</w:t>
            </w:r>
          </w:p>
        </w:tc>
        <w:tc>
          <w:tcPr>
            <w:tcW w:w="4697" w:type="dxa"/>
          </w:tcPr>
          <w:p w14:paraId="60061E4C" w14:textId="77777777" w:rsidR="006D31E9" w:rsidRPr="00F762D9" w:rsidRDefault="006D31E9" w:rsidP="00F762D9">
            <w:pPr>
              <w:spacing w:line="271" w:lineRule="auto"/>
              <w:rPr>
                <w:rFonts w:ascii="Arial" w:hAnsi="Arial" w:cs="Arial"/>
              </w:rPr>
            </w:pPr>
          </w:p>
        </w:tc>
      </w:tr>
    </w:tbl>
    <w:p w14:paraId="44EAFD9C" w14:textId="77777777" w:rsidR="006D31E9" w:rsidRPr="00F762D9" w:rsidRDefault="006D31E9" w:rsidP="00F762D9">
      <w:pPr>
        <w:spacing w:line="271" w:lineRule="auto"/>
        <w:rPr>
          <w:rFonts w:ascii="Arial" w:hAnsi="Arial" w:cs="Arial"/>
          <w:b/>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6"/>
        <w:gridCol w:w="15"/>
        <w:gridCol w:w="4611"/>
      </w:tblGrid>
      <w:tr w:rsidR="006D31E9" w:rsidRPr="00F762D9" w14:paraId="725FA665" w14:textId="77777777" w:rsidTr="00F762D9">
        <w:tc>
          <w:tcPr>
            <w:tcW w:w="4446" w:type="dxa"/>
          </w:tcPr>
          <w:p w14:paraId="7B863D7B" w14:textId="77777777" w:rsidR="006D31E9" w:rsidRPr="00F762D9" w:rsidRDefault="006D31E9" w:rsidP="00F762D9">
            <w:pPr>
              <w:spacing w:line="271" w:lineRule="auto"/>
              <w:rPr>
                <w:rFonts w:ascii="Arial" w:hAnsi="Arial" w:cs="Arial"/>
                <w:b/>
              </w:rPr>
            </w:pPr>
            <w:r w:rsidRPr="00F762D9">
              <w:rPr>
                <w:rFonts w:ascii="Arial" w:hAnsi="Arial" w:cs="Arial"/>
                <w:b/>
              </w:rPr>
              <w:t xml:space="preserve">Poskytovatel </w:t>
            </w:r>
          </w:p>
        </w:tc>
        <w:tc>
          <w:tcPr>
            <w:tcW w:w="4626" w:type="dxa"/>
            <w:gridSpan w:val="2"/>
          </w:tcPr>
          <w:p w14:paraId="4B94D5A5" w14:textId="77777777" w:rsidR="006D31E9" w:rsidRPr="00F762D9" w:rsidRDefault="006D31E9" w:rsidP="00F762D9">
            <w:pPr>
              <w:spacing w:line="271" w:lineRule="auto"/>
              <w:rPr>
                <w:rFonts w:ascii="Arial" w:hAnsi="Arial" w:cs="Arial"/>
                <w:b/>
              </w:rPr>
            </w:pPr>
          </w:p>
        </w:tc>
      </w:tr>
      <w:tr w:rsidR="006D31E9" w:rsidRPr="00F762D9" w14:paraId="1058C95E" w14:textId="77777777" w:rsidTr="00F762D9">
        <w:tc>
          <w:tcPr>
            <w:tcW w:w="4446" w:type="dxa"/>
          </w:tcPr>
          <w:p w14:paraId="72F41027" w14:textId="77777777" w:rsidR="006D31E9" w:rsidRPr="00F762D9" w:rsidRDefault="006D31E9" w:rsidP="00F762D9">
            <w:pPr>
              <w:spacing w:line="271" w:lineRule="auto"/>
              <w:rPr>
                <w:rFonts w:ascii="Arial" w:hAnsi="Arial" w:cs="Arial"/>
              </w:rPr>
            </w:pPr>
            <w:r w:rsidRPr="00F762D9">
              <w:rPr>
                <w:rFonts w:ascii="Arial" w:hAnsi="Arial" w:cs="Arial"/>
              </w:rPr>
              <w:t>Adresa:</w:t>
            </w:r>
          </w:p>
        </w:tc>
        <w:tc>
          <w:tcPr>
            <w:tcW w:w="4626" w:type="dxa"/>
            <w:gridSpan w:val="2"/>
          </w:tcPr>
          <w:p w14:paraId="3DEEC669" w14:textId="77777777" w:rsidR="006D31E9" w:rsidRPr="00F762D9" w:rsidRDefault="006D31E9" w:rsidP="00F762D9">
            <w:pPr>
              <w:spacing w:line="271" w:lineRule="auto"/>
              <w:rPr>
                <w:rFonts w:ascii="Arial" w:hAnsi="Arial" w:cs="Arial"/>
              </w:rPr>
            </w:pPr>
          </w:p>
        </w:tc>
      </w:tr>
      <w:tr w:rsidR="006D31E9" w:rsidRPr="00F762D9" w14:paraId="25F8D58F" w14:textId="77777777" w:rsidTr="00F762D9">
        <w:tc>
          <w:tcPr>
            <w:tcW w:w="4446" w:type="dxa"/>
          </w:tcPr>
          <w:p w14:paraId="354758F8" w14:textId="77777777" w:rsidR="006D31E9" w:rsidRPr="00F762D9" w:rsidRDefault="006D31E9" w:rsidP="00F762D9">
            <w:pPr>
              <w:spacing w:line="271" w:lineRule="auto"/>
              <w:rPr>
                <w:rFonts w:ascii="Arial" w:hAnsi="Arial" w:cs="Arial"/>
              </w:rPr>
            </w:pPr>
            <w:r w:rsidRPr="00F762D9">
              <w:rPr>
                <w:rFonts w:ascii="Arial" w:hAnsi="Arial" w:cs="Arial"/>
              </w:rPr>
              <w:t>Tel.:</w:t>
            </w:r>
          </w:p>
        </w:tc>
        <w:tc>
          <w:tcPr>
            <w:tcW w:w="4626" w:type="dxa"/>
            <w:gridSpan w:val="2"/>
          </w:tcPr>
          <w:p w14:paraId="3656B9AB" w14:textId="77777777" w:rsidR="006D31E9" w:rsidRPr="00F762D9" w:rsidRDefault="006D31E9" w:rsidP="00F762D9">
            <w:pPr>
              <w:spacing w:line="271" w:lineRule="auto"/>
              <w:rPr>
                <w:rFonts w:ascii="Arial" w:hAnsi="Arial" w:cs="Arial"/>
              </w:rPr>
            </w:pPr>
          </w:p>
        </w:tc>
      </w:tr>
      <w:tr w:rsidR="006D31E9" w:rsidRPr="00F762D9" w14:paraId="7FD07F30" w14:textId="77777777" w:rsidTr="00F762D9">
        <w:tc>
          <w:tcPr>
            <w:tcW w:w="4446" w:type="dxa"/>
          </w:tcPr>
          <w:p w14:paraId="40C77609" w14:textId="77777777" w:rsidR="006D31E9" w:rsidRPr="00F762D9" w:rsidRDefault="006D31E9" w:rsidP="00F762D9">
            <w:pPr>
              <w:spacing w:line="271" w:lineRule="auto"/>
              <w:rPr>
                <w:rFonts w:ascii="Arial" w:hAnsi="Arial" w:cs="Arial"/>
              </w:rPr>
            </w:pPr>
            <w:r w:rsidRPr="00F762D9">
              <w:rPr>
                <w:rFonts w:ascii="Arial" w:hAnsi="Arial" w:cs="Arial"/>
              </w:rPr>
              <w:t>IČ:</w:t>
            </w:r>
          </w:p>
        </w:tc>
        <w:tc>
          <w:tcPr>
            <w:tcW w:w="4626" w:type="dxa"/>
            <w:gridSpan w:val="2"/>
          </w:tcPr>
          <w:p w14:paraId="45FB0818" w14:textId="77777777" w:rsidR="006D31E9" w:rsidRPr="00F762D9" w:rsidRDefault="006D31E9" w:rsidP="00F762D9">
            <w:pPr>
              <w:spacing w:line="271" w:lineRule="auto"/>
              <w:rPr>
                <w:rFonts w:ascii="Arial" w:hAnsi="Arial" w:cs="Arial"/>
              </w:rPr>
            </w:pPr>
          </w:p>
        </w:tc>
      </w:tr>
      <w:tr w:rsidR="006D31E9" w:rsidRPr="00F762D9" w14:paraId="54AA2CB2" w14:textId="77777777" w:rsidTr="00F762D9">
        <w:tc>
          <w:tcPr>
            <w:tcW w:w="4446" w:type="dxa"/>
          </w:tcPr>
          <w:p w14:paraId="2EE5B665" w14:textId="77777777" w:rsidR="006D31E9" w:rsidRPr="00F762D9" w:rsidRDefault="006D31E9" w:rsidP="00F762D9">
            <w:pPr>
              <w:spacing w:line="271" w:lineRule="auto"/>
              <w:rPr>
                <w:rFonts w:ascii="Arial" w:hAnsi="Arial" w:cs="Arial"/>
              </w:rPr>
            </w:pPr>
            <w:r w:rsidRPr="00F762D9">
              <w:rPr>
                <w:rFonts w:ascii="Arial" w:hAnsi="Arial" w:cs="Arial"/>
              </w:rPr>
              <w:t>DIČ:</w:t>
            </w:r>
          </w:p>
        </w:tc>
        <w:tc>
          <w:tcPr>
            <w:tcW w:w="4626" w:type="dxa"/>
            <w:gridSpan w:val="2"/>
          </w:tcPr>
          <w:p w14:paraId="049F31CB" w14:textId="77777777" w:rsidR="006D31E9" w:rsidRPr="00F762D9" w:rsidRDefault="006D31E9" w:rsidP="00F762D9">
            <w:pPr>
              <w:spacing w:line="271" w:lineRule="auto"/>
              <w:rPr>
                <w:rFonts w:ascii="Arial" w:hAnsi="Arial" w:cs="Arial"/>
              </w:rPr>
            </w:pPr>
          </w:p>
        </w:tc>
      </w:tr>
      <w:tr w:rsidR="006D31E9" w:rsidRPr="00F762D9" w14:paraId="003F8B3C" w14:textId="77777777" w:rsidTr="00F762D9">
        <w:tc>
          <w:tcPr>
            <w:tcW w:w="4446" w:type="dxa"/>
          </w:tcPr>
          <w:p w14:paraId="18431292" w14:textId="77777777" w:rsidR="006D31E9" w:rsidRPr="00F762D9" w:rsidRDefault="006D31E9" w:rsidP="00F762D9">
            <w:pPr>
              <w:spacing w:line="271" w:lineRule="auto"/>
              <w:rPr>
                <w:rFonts w:ascii="Arial" w:hAnsi="Arial" w:cs="Arial"/>
              </w:rPr>
            </w:pPr>
            <w:r w:rsidRPr="00F762D9">
              <w:rPr>
                <w:rFonts w:ascii="Arial" w:hAnsi="Arial" w:cs="Arial"/>
              </w:rPr>
              <w:t>Bankovní spojení:</w:t>
            </w:r>
          </w:p>
        </w:tc>
        <w:tc>
          <w:tcPr>
            <w:tcW w:w="4626" w:type="dxa"/>
            <w:gridSpan w:val="2"/>
          </w:tcPr>
          <w:p w14:paraId="53128261" w14:textId="77777777" w:rsidR="006D31E9" w:rsidRPr="00F762D9" w:rsidRDefault="006D31E9" w:rsidP="00F762D9">
            <w:pPr>
              <w:spacing w:line="271" w:lineRule="auto"/>
              <w:rPr>
                <w:rFonts w:ascii="Arial" w:hAnsi="Arial" w:cs="Arial"/>
              </w:rPr>
            </w:pPr>
          </w:p>
        </w:tc>
      </w:tr>
      <w:tr w:rsidR="006D31E9" w:rsidRPr="00F762D9" w14:paraId="779088FE" w14:textId="77777777" w:rsidTr="00F762D9">
        <w:tc>
          <w:tcPr>
            <w:tcW w:w="4446" w:type="dxa"/>
          </w:tcPr>
          <w:p w14:paraId="097282A1" w14:textId="77777777" w:rsidR="006D31E9" w:rsidRPr="00F762D9" w:rsidRDefault="006D31E9" w:rsidP="00F762D9">
            <w:pPr>
              <w:spacing w:line="271" w:lineRule="auto"/>
              <w:rPr>
                <w:rFonts w:ascii="Arial" w:hAnsi="Arial" w:cs="Arial"/>
              </w:rPr>
            </w:pPr>
            <w:r w:rsidRPr="00F762D9">
              <w:rPr>
                <w:rFonts w:ascii="Arial" w:hAnsi="Arial" w:cs="Arial"/>
              </w:rPr>
              <w:t>Číslo účtu:</w:t>
            </w:r>
          </w:p>
        </w:tc>
        <w:tc>
          <w:tcPr>
            <w:tcW w:w="4626" w:type="dxa"/>
            <w:gridSpan w:val="2"/>
          </w:tcPr>
          <w:p w14:paraId="62486C05" w14:textId="77777777" w:rsidR="006D31E9" w:rsidRPr="00F762D9" w:rsidRDefault="006D31E9" w:rsidP="00F762D9">
            <w:pPr>
              <w:spacing w:line="271" w:lineRule="auto"/>
              <w:rPr>
                <w:rFonts w:ascii="Arial" w:hAnsi="Arial" w:cs="Arial"/>
              </w:rPr>
            </w:pPr>
          </w:p>
        </w:tc>
      </w:tr>
      <w:tr w:rsidR="006D31E9" w:rsidRPr="00F762D9" w14:paraId="447F3EC5" w14:textId="77777777" w:rsidTr="00F762D9">
        <w:tc>
          <w:tcPr>
            <w:tcW w:w="4461" w:type="dxa"/>
            <w:gridSpan w:val="2"/>
          </w:tcPr>
          <w:p w14:paraId="7110B0F2" w14:textId="77777777" w:rsidR="006D31E9" w:rsidRPr="00F762D9" w:rsidRDefault="006D31E9" w:rsidP="00F762D9">
            <w:pPr>
              <w:spacing w:line="271" w:lineRule="auto"/>
              <w:rPr>
                <w:rFonts w:ascii="Arial" w:hAnsi="Arial" w:cs="Arial"/>
              </w:rPr>
            </w:pPr>
            <w:r w:rsidRPr="00F762D9">
              <w:rPr>
                <w:rFonts w:ascii="Arial" w:hAnsi="Arial" w:cs="Arial"/>
              </w:rPr>
              <w:t xml:space="preserve">Zápis v obchodním rejstříku: </w:t>
            </w:r>
          </w:p>
        </w:tc>
        <w:tc>
          <w:tcPr>
            <w:tcW w:w="4611" w:type="dxa"/>
          </w:tcPr>
          <w:p w14:paraId="4101652C" w14:textId="77777777" w:rsidR="006D31E9" w:rsidRPr="00F762D9" w:rsidRDefault="006D31E9" w:rsidP="00F762D9">
            <w:pPr>
              <w:spacing w:line="271" w:lineRule="auto"/>
              <w:rPr>
                <w:rFonts w:ascii="Arial" w:hAnsi="Arial" w:cs="Arial"/>
              </w:rPr>
            </w:pPr>
          </w:p>
        </w:tc>
      </w:tr>
      <w:tr w:rsidR="006D31E9" w:rsidRPr="00F762D9" w14:paraId="7CF6277C" w14:textId="77777777" w:rsidTr="00F762D9">
        <w:tc>
          <w:tcPr>
            <w:tcW w:w="4446" w:type="dxa"/>
          </w:tcPr>
          <w:p w14:paraId="2DFA6229" w14:textId="77777777" w:rsidR="006D31E9" w:rsidRPr="00F762D9" w:rsidRDefault="006D31E9" w:rsidP="00F762D9">
            <w:pPr>
              <w:spacing w:line="271" w:lineRule="auto"/>
              <w:rPr>
                <w:rFonts w:ascii="Arial" w:hAnsi="Arial" w:cs="Arial"/>
              </w:rPr>
            </w:pPr>
            <w:r w:rsidRPr="00F762D9">
              <w:rPr>
                <w:rFonts w:ascii="Arial" w:hAnsi="Arial" w:cs="Arial"/>
              </w:rPr>
              <w:t>Zastoupený:</w:t>
            </w:r>
          </w:p>
        </w:tc>
        <w:tc>
          <w:tcPr>
            <w:tcW w:w="4626" w:type="dxa"/>
            <w:gridSpan w:val="2"/>
          </w:tcPr>
          <w:p w14:paraId="4B99056E" w14:textId="77777777" w:rsidR="006D31E9" w:rsidRPr="00F762D9" w:rsidRDefault="006D31E9" w:rsidP="00F762D9">
            <w:pPr>
              <w:spacing w:line="271" w:lineRule="auto"/>
              <w:rPr>
                <w:rFonts w:ascii="Arial" w:hAnsi="Arial" w:cs="Arial"/>
              </w:rPr>
            </w:pPr>
          </w:p>
        </w:tc>
      </w:tr>
      <w:tr w:rsidR="006D31E9" w:rsidRPr="00F762D9" w14:paraId="1EFCA20C" w14:textId="77777777" w:rsidTr="00F762D9">
        <w:tc>
          <w:tcPr>
            <w:tcW w:w="4446" w:type="dxa"/>
          </w:tcPr>
          <w:p w14:paraId="2B917BD1" w14:textId="77777777" w:rsidR="006D31E9" w:rsidRPr="00F762D9" w:rsidRDefault="006D31E9" w:rsidP="00F762D9">
            <w:pPr>
              <w:spacing w:line="271" w:lineRule="auto"/>
              <w:rPr>
                <w:rFonts w:ascii="Arial" w:hAnsi="Arial" w:cs="Arial"/>
              </w:rPr>
            </w:pPr>
            <w:r w:rsidRPr="00F762D9">
              <w:rPr>
                <w:rFonts w:ascii="Arial" w:hAnsi="Arial" w:cs="Arial"/>
              </w:rPr>
              <w:t>(dále jen „poskytovatel“) na straně druhé</w:t>
            </w:r>
          </w:p>
        </w:tc>
        <w:tc>
          <w:tcPr>
            <w:tcW w:w="4626" w:type="dxa"/>
            <w:gridSpan w:val="2"/>
          </w:tcPr>
          <w:p w14:paraId="1299C43A" w14:textId="77777777" w:rsidR="006D31E9" w:rsidRPr="00F762D9" w:rsidRDefault="006D31E9" w:rsidP="00F762D9">
            <w:pPr>
              <w:spacing w:line="271" w:lineRule="auto"/>
              <w:rPr>
                <w:rFonts w:ascii="Arial" w:hAnsi="Arial" w:cs="Arial"/>
              </w:rPr>
            </w:pPr>
          </w:p>
        </w:tc>
      </w:tr>
    </w:tbl>
    <w:p w14:paraId="4DDBEF00" w14:textId="77777777" w:rsidR="006D31E9" w:rsidRPr="00F762D9" w:rsidRDefault="006D31E9" w:rsidP="00F762D9">
      <w:pPr>
        <w:spacing w:line="271" w:lineRule="auto"/>
        <w:rPr>
          <w:rFonts w:ascii="Arial" w:hAnsi="Arial" w:cs="Arial"/>
        </w:rPr>
      </w:pPr>
    </w:p>
    <w:p w14:paraId="2776FEB4" w14:textId="43DDD529" w:rsidR="006D31E9" w:rsidRPr="00F762D9" w:rsidRDefault="006D31E9" w:rsidP="4665668D">
      <w:pPr>
        <w:spacing w:line="271" w:lineRule="auto"/>
        <w:jc w:val="both"/>
        <w:rPr>
          <w:rFonts w:ascii="Arial" w:hAnsi="Arial" w:cs="Arial"/>
          <w:b/>
          <w:bCs/>
        </w:rPr>
      </w:pPr>
      <w:r w:rsidRPr="00F762D9">
        <w:rPr>
          <w:rFonts w:ascii="Arial" w:hAnsi="Arial" w:cs="Arial"/>
        </w:rPr>
        <w:t>uzavírají tuto smlouvu v souladu s </w:t>
      </w:r>
      <w:r w:rsidR="7709AF0C" w:rsidRPr="00F762D9">
        <w:rPr>
          <w:rFonts w:ascii="Arial" w:hAnsi="Arial" w:cs="Arial"/>
        </w:rPr>
        <w:t>r</w:t>
      </w:r>
      <w:r w:rsidRPr="00F762D9">
        <w:rPr>
          <w:rFonts w:ascii="Arial" w:hAnsi="Arial" w:cs="Arial"/>
        </w:rPr>
        <w:t>ozhodnutím Evropské Komise ze dne 20. prosince 2011 o použití čl. 106 odst. 2 SFEU na státní podporu ve formě vyrovnávací platby za závazek veřejné služby udělené určitým podnikům pověřeným poskytováním služeb obecného hospodářského zájmu (2012/21/EU)</w:t>
      </w:r>
      <w:r w:rsidRPr="00F762D9">
        <w:rPr>
          <w:rFonts w:ascii="Arial" w:hAnsi="Arial" w:cs="Arial"/>
          <w:vertAlign w:val="superscript"/>
        </w:rPr>
        <w:footnoteReference w:id="1"/>
      </w:r>
      <w:r w:rsidRPr="00F762D9">
        <w:rPr>
          <w:rFonts w:ascii="Arial" w:hAnsi="Arial" w:cs="Arial"/>
        </w:rPr>
        <w:t xml:space="preserve"> a zákonem č. 89/2012 Sb., občanský zákoník</w:t>
      </w:r>
      <w:r w:rsidR="7639A879" w:rsidRPr="00F762D9">
        <w:rPr>
          <w:rFonts w:ascii="Arial" w:hAnsi="Arial" w:cs="Arial"/>
        </w:rPr>
        <w:t>, ve znění pozdějších předpisů</w:t>
      </w:r>
      <w:r w:rsidRPr="00F762D9">
        <w:rPr>
          <w:rFonts w:ascii="Arial" w:hAnsi="Arial" w:cs="Arial"/>
        </w:rPr>
        <w:t>.</w:t>
      </w:r>
    </w:p>
    <w:p w14:paraId="479E1164" w14:textId="77777777" w:rsidR="006D31E9" w:rsidRPr="00F762D9" w:rsidRDefault="006D31E9" w:rsidP="00F762D9">
      <w:pPr>
        <w:spacing w:before="360" w:after="120" w:line="271" w:lineRule="auto"/>
        <w:jc w:val="center"/>
        <w:rPr>
          <w:rFonts w:ascii="Arial" w:hAnsi="Arial" w:cs="Arial"/>
          <w:b/>
          <w:smallCaps/>
        </w:rPr>
      </w:pPr>
      <w:r w:rsidRPr="00F762D9">
        <w:rPr>
          <w:rFonts w:ascii="Arial" w:hAnsi="Arial" w:cs="Arial"/>
          <w:b/>
          <w:smallCaps/>
        </w:rPr>
        <w:t>Článek I.</w:t>
      </w:r>
    </w:p>
    <w:p w14:paraId="26CF539C" w14:textId="77777777" w:rsidR="006D31E9" w:rsidRPr="00F762D9" w:rsidRDefault="006D31E9" w:rsidP="00F762D9">
      <w:pPr>
        <w:spacing w:line="271" w:lineRule="auto"/>
        <w:jc w:val="center"/>
        <w:rPr>
          <w:rFonts w:ascii="Arial" w:hAnsi="Arial" w:cs="Arial"/>
          <w:b/>
          <w:smallCaps/>
        </w:rPr>
      </w:pPr>
      <w:r w:rsidRPr="00F762D9">
        <w:rPr>
          <w:rFonts w:ascii="Arial" w:hAnsi="Arial" w:cs="Arial"/>
          <w:b/>
          <w:smallCaps/>
        </w:rPr>
        <w:t>Předmět pověřovacího aktu</w:t>
      </w:r>
    </w:p>
    <w:p w14:paraId="5DC4C16D" w14:textId="77777777" w:rsidR="006D31E9" w:rsidRPr="00F762D9" w:rsidRDefault="006D31E9" w:rsidP="00F762D9">
      <w:pPr>
        <w:pStyle w:val="Odstavecseseznamem"/>
        <w:numPr>
          <w:ilvl w:val="0"/>
          <w:numId w:val="1"/>
        </w:numPr>
        <w:spacing w:line="271" w:lineRule="auto"/>
        <w:rPr>
          <w:rFonts w:ascii="Arial" w:hAnsi="Arial" w:cs="Arial"/>
          <w:sz w:val="22"/>
          <w:szCs w:val="22"/>
        </w:rPr>
      </w:pPr>
      <w:r w:rsidRPr="00F762D9">
        <w:rPr>
          <w:rFonts w:ascii="Arial" w:hAnsi="Arial" w:cs="Arial"/>
          <w:sz w:val="22"/>
          <w:szCs w:val="22"/>
        </w:rPr>
        <w:t>Pověřovatel pověřuje poskytovatele výkonem služeb obecného hospodářského zájmu (dále jen „SOHZ“) sociálního bydlení formou pronájmu bytu (bytů) za stanovené nájemné osobám v bytové nouzi na základě podmínek vymezených ve Specifických pravidlech pro žadatele a příjemce (dále jen „S</w:t>
      </w:r>
      <w:r w:rsidR="00A93C70">
        <w:rPr>
          <w:rFonts w:ascii="Arial" w:hAnsi="Arial" w:cs="Arial"/>
          <w:sz w:val="22"/>
          <w:szCs w:val="22"/>
        </w:rPr>
        <w:t>pecifická pravidla</w:t>
      </w:r>
      <w:r w:rsidRPr="00F762D9">
        <w:rPr>
          <w:rFonts w:ascii="Arial" w:hAnsi="Arial" w:cs="Arial"/>
          <w:sz w:val="22"/>
          <w:szCs w:val="22"/>
        </w:rPr>
        <w:t>“).</w:t>
      </w:r>
    </w:p>
    <w:p w14:paraId="11BE6F9A" w14:textId="77777777" w:rsidR="006D31E9" w:rsidRPr="00F762D9" w:rsidRDefault="006D31E9" w:rsidP="00F762D9">
      <w:pPr>
        <w:pStyle w:val="Odstavecseseznamem"/>
        <w:numPr>
          <w:ilvl w:val="0"/>
          <w:numId w:val="1"/>
        </w:numPr>
        <w:spacing w:line="271" w:lineRule="auto"/>
        <w:rPr>
          <w:rFonts w:ascii="Arial" w:hAnsi="Arial" w:cs="Arial"/>
          <w:sz w:val="22"/>
          <w:szCs w:val="22"/>
        </w:rPr>
      </w:pPr>
      <w:r w:rsidRPr="00F762D9">
        <w:rPr>
          <w:rFonts w:ascii="Arial" w:hAnsi="Arial" w:cs="Arial"/>
          <w:sz w:val="22"/>
          <w:szCs w:val="22"/>
        </w:rPr>
        <w:lastRenderedPageBreak/>
        <w:t>Poskytovatel na sebe převzal závazek poskytovat SOHZ sociálního bydlení podle podmínek uvedených v Pověřovacím aktu a S</w:t>
      </w:r>
      <w:r w:rsidR="00A93C70">
        <w:rPr>
          <w:rFonts w:ascii="Arial" w:hAnsi="Arial" w:cs="Arial"/>
          <w:sz w:val="22"/>
          <w:szCs w:val="22"/>
        </w:rPr>
        <w:t>pecifických pravidlech</w:t>
      </w:r>
      <w:r w:rsidRPr="00F762D9">
        <w:rPr>
          <w:rFonts w:ascii="Arial" w:hAnsi="Arial" w:cs="Arial"/>
          <w:sz w:val="22"/>
          <w:szCs w:val="22"/>
        </w:rPr>
        <w:t xml:space="preserve">. </w:t>
      </w:r>
    </w:p>
    <w:p w14:paraId="2DF01ED7" w14:textId="30476175" w:rsidR="006D31E9" w:rsidRPr="00F762D9" w:rsidRDefault="006D31E9" w:rsidP="00F762D9">
      <w:pPr>
        <w:pStyle w:val="Odstavecseseznamem"/>
        <w:numPr>
          <w:ilvl w:val="0"/>
          <w:numId w:val="1"/>
        </w:numPr>
        <w:spacing w:line="271" w:lineRule="auto"/>
        <w:rPr>
          <w:rFonts w:ascii="Arial" w:hAnsi="Arial" w:cs="Arial"/>
          <w:sz w:val="22"/>
          <w:szCs w:val="22"/>
        </w:rPr>
      </w:pPr>
      <w:r w:rsidRPr="4665668D">
        <w:rPr>
          <w:rFonts w:ascii="Arial" w:hAnsi="Arial" w:cs="Arial"/>
          <w:sz w:val="22"/>
          <w:szCs w:val="22"/>
        </w:rPr>
        <w:t xml:space="preserve">Pověřovatel se zavazuje poskytnout poskytovateli dotaci podle pravidel </w:t>
      </w:r>
      <w:r w:rsidR="15BA21C9" w:rsidRPr="4665668D">
        <w:rPr>
          <w:rFonts w:ascii="Arial" w:hAnsi="Arial" w:cs="Arial"/>
          <w:sz w:val="22"/>
          <w:szCs w:val="22"/>
        </w:rPr>
        <w:t>r</w:t>
      </w:r>
      <w:r w:rsidRPr="4665668D">
        <w:rPr>
          <w:rFonts w:ascii="Arial" w:hAnsi="Arial" w:cs="Arial"/>
          <w:sz w:val="22"/>
          <w:szCs w:val="22"/>
        </w:rPr>
        <w:t>ozhodnutí 2012/21/EU ve formě vyrovnávací platby</w:t>
      </w:r>
      <w:r w:rsidRPr="4665668D">
        <w:rPr>
          <w:rFonts w:ascii="Arial" w:hAnsi="Arial" w:cs="Arial"/>
          <w:color w:val="1F497D"/>
          <w:sz w:val="22"/>
          <w:szCs w:val="22"/>
        </w:rPr>
        <w:t xml:space="preserve"> </w:t>
      </w:r>
      <w:r w:rsidRPr="4665668D">
        <w:rPr>
          <w:rFonts w:ascii="Arial" w:hAnsi="Arial" w:cs="Arial"/>
          <w:sz w:val="22"/>
          <w:szCs w:val="22"/>
        </w:rPr>
        <w:t xml:space="preserve">na zajištění činností týkajících se závazku poskytovat SOHZ sociálního bydlení podle článku I. odst. 2 Pověřovacího aktu. Vyrovnávací platba bude poskytnuta z rozpočtových prostředků Integrovaného regionálního operačního programu poskytovateli na </w:t>
      </w:r>
      <w:r w:rsidR="00495D67" w:rsidRPr="4665668D">
        <w:rPr>
          <w:rFonts w:ascii="Arial" w:hAnsi="Arial" w:cs="Arial"/>
          <w:sz w:val="22"/>
          <w:szCs w:val="22"/>
        </w:rPr>
        <w:t>podporované aktivity uvedené v kapitol</w:t>
      </w:r>
      <w:r w:rsidR="001235AE" w:rsidRPr="4665668D">
        <w:rPr>
          <w:rFonts w:ascii="Arial" w:hAnsi="Arial" w:cs="Arial"/>
          <w:sz w:val="22"/>
          <w:szCs w:val="22"/>
        </w:rPr>
        <w:t>e</w:t>
      </w:r>
      <w:r w:rsidR="00495D67" w:rsidRPr="4665668D">
        <w:rPr>
          <w:rFonts w:ascii="Arial" w:hAnsi="Arial" w:cs="Arial"/>
          <w:sz w:val="22"/>
          <w:szCs w:val="22"/>
        </w:rPr>
        <w:t xml:space="preserve"> 2.3 S</w:t>
      </w:r>
      <w:r w:rsidR="00BA1A00" w:rsidRPr="4665668D">
        <w:rPr>
          <w:rFonts w:ascii="Arial" w:hAnsi="Arial" w:cs="Arial"/>
          <w:sz w:val="22"/>
          <w:szCs w:val="22"/>
        </w:rPr>
        <w:t>pecifických pravidel</w:t>
      </w:r>
      <w:r w:rsidR="00495D67" w:rsidRPr="4665668D">
        <w:rPr>
          <w:rFonts w:ascii="Arial" w:hAnsi="Arial" w:cs="Arial"/>
          <w:sz w:val="22"/>
          <w:szCs w:val="22"/>
        </w:rPr>
        <w:t xml:space="preserve"> </w:t>
      </w:r>
      <w:r w:rsidRPr="4665668D">
        <w:rPr>
          <w:rFonts w:ascii="Arial" w:hAnsi="Arial" w:cs="Arial"/>
          <w:sz w:val="22"/>
          <w:szCs w:val="22"/>
        </w:rPr>
        <w:t>nezbytn</w:t>
      </w:r>
      <w:r w:rsidR="00C063F5" w:rsidRPr="4665668D">
        <w:rPr>
          <w:rFonts w:ascii="Arial" w:hAnsi="Arial" w:cs="Arial"/>
          <w:sz w:val="22"/>
          <w:szCs w:val="22"/>
        </w:rPr>
        <w:t>é</w:t>
      </w:r>
      <w:r w:rsidRPr="4665668D">
        <w:rPr>
          <w:rFonts w:ascii="Arial" w:hAnsi="Arial" w:cs="Arial"/>
          <w:sz w:val="22"/>
          <w:szCs w:val="22"/>
        </w:rPr>
        <w:t xml:space="preserve"> k poskytování SOHZ sociálního bydlení podle článku I. odst. 4 Pověřovacího aktu na základě předložené žádosti o podporu. Výše vyrovnávací platby je určena podle článku III. Pověřovacího aktu.</w:t>
      </w:r>
    </w:p>
    <w:p w14:paraId="6D8149CC" w14:textId="77777777" w:rsidR="006D31E9" w:rsidRPr="00F762D9" w:rsidRDefault="006D31E9" w:rsidP="00F762D9">
      <w:pPr>
        <w:pStyle w:val="Odstavecseseznamem"/>
        <w:numPr>
          <w:ilvl w:val="0"/>
          <w:numId w:val="1"/>
        </w:numPr>
        <w:spacing w:line="271" w:lineRule="auto"/>
        <w:rPr>
          <w:rFonts w:ascii="Arial" w:hAnsi="Arial" w:cs="Arial"/>
          <w:sz w:val="22"/>
          <w:szCs w:val="22"/>
        </w:rPr>
      </w:pPr>
      <w:r w:rsidRPr="00F762D9">
        <w:rPr>
          <w:rFonts w:ascii="Arial" w:hAnsi="Arial" w:cs="Arial"/>
          <w:sz w:val="22"/>
          <w:szCs w:val="22"/>
        </w:rPr>
        <w:t>Poskytovatel se zavazuje, že bude poskytovat SOHZ sociálního bydlení formou pronájmu bytu (bytů) za stanovené nájemné a podmínek vymezených v</w:t>
      </w:r>
      <w:r w:rsidR="00BA1A00" w:rsidRPr="00F762D9">
        <w:rPr>
          <w:rFonts w:ascii="Arial" w:hAnsi="Arial" w:cs="Arial"/>
          <w:sz w:val="22"/>
          <w:szCs w:val="22"/>
        </w:rPr>
        <w:t>e</w:t>
      </w:r>
      <w:r w:rsidRPr="00F762D9">
        <w:rPr>
          <w:rFonts w:ascii="Arial" w:hAnsi="Arial" w:cs="Arial"/>
          <w:sz w:val="22"/>
          <w:szCs w:val="22"/>
        </w:rPr>
        <w:t> S</w:t>
      </w:r>
      <w:r w:rsidR="00BA1A00" w:rsidRPr="00F762D9">
        <w:rPr>
          <w:rFonts w:ascii="Arial" w:hAnsi="Arial" w:cs="Arial"/>
          <w:sz w:val="22"/>
          <w:szCs w:val="22"/>
        </w:rPr>
        <w:t>pecifických pravidlech</w:t>
      </w:r>
      <w:r w:rsidRPr="00F762D9">
        <w:rPr>
          <w:rFonts w:ascii="Arial" w:hAnsi="Arial" w:cs="Arial"/>
          <w:sz w:val="22"/>
          <w:szCs w:val="22"/>
        </w:rPr>
        <w:t>. SOHZ sociálního bydlení bude poskytována v bytu (bytech) které jsou předmětem žádosti o podporu [</w:t>
      </w:r>
      <w:r w:rsidRPr="00F762D9">
        <w:rPr>
          <w:rFonts w:ascii="Arial" w:hAnsi="Arial" w:cs="Arial"/>
          <w:i/>
          <w:sz w:val="22"/>
          <w:szCs w:val="22"/>
          <w:highlight w:val="lightGray"/>
        </w:rPr>
        <w:t>registrační číslo projektu</w:t>
      </w:r>
      <w:r w:rsidRPr="00F762D9">
        <w:rPr>
          <w:rFonts w:ascii="Arial" w:hAnsi="Arial" w:cs="Arial"/>
          <w:sz w:val="22"/>
          <w:szCs w:val="22"/>
        </w:rPr>
        <w:t>].</w:t>
      </w:r>
    </w:p>
    <w:p w14:paraId="07DD0052" w14:textId="77777777" w:rsidR="006D31E9" w:rsidRPr="00F762D9" w:rsidRDefault="006D31E9" w:rsidP="00F762D9">
      <w:pPr>
        <w:spacing w:before="360" w:after="120" w:line="271" w:lineRule="auto"/>
        <w:jc w:val="center"/>
        <w:rPr>
          <w:rFonts w:ascii="Arial" w:hAnsi="Arial" w:cs="Arial"/>
          <w:b/>
          <w:smallCaps/>
        </w:rPr>
      </w:pPr>
      <w:r w:rsidRPr="00F762D9">
        <w:rPr>
          <w:rFonts w:ascii="Arial" w:hAnsi="Arial" w:cs="Arial"/>
          <w:b/>
          <w:smallCaps/>
        </w:rPr>
        <w:t>Článek II</w:t>
      </w:r>
    </w:p>
    <w:p w14:paraId="412A3605" w14:textId="77777777" w:rsidR="006D31E9" w:rsidRPr="00F762D9" w:rsidRDefault="006D31E9" w:rsidP="00F762D9">
      <w:pPr>
        <w:spacing w:line="271" w:lineRule="auto"/>
        <w:jc w:val="center"/>
        <w:rPr>
          <w:rFonts w:ascii="Arial" w:hAnsi="Arial" w:cs="Arial"/>
          <w:b/>
          <w:smallCaps/>
        </w:rPr>
      </w:pPr>
      <w:r w:rsidRPr="00F762D9">
        <w:rPr>
          <w:rFonts w:ascii="Arial" w:hAnsi="Arial" w:cs="Arial"/>
          <w:b/>
          <w:smallCaps/>
        </w:rPr>
        <w:t>Obecná ustanovení a pojmy</w:t>
      </w:r>
    </w:p>
    <w:p w14:paraId="48811D31" w14:textId="77777777" w:rsidR="006D31E9" w:rsidRPr="00F762D9" w:rsidRDefault="006D31E9" w:rsidP="00F762D9">
      <w:pPr>
        <w:pStyle w:val="Odstavecseseznamem"/>
        <w:numPr>
          <w:ilvl w:val="0"/>
          <w:numId w:val="6"/>
        </w:numPr>
        <w:spacing w:line="271" w:lineRule="auto"/>
        <w:ind w:left="714" w:hanging="357"/>
        <w:rPr>
          <w:rFonts w:ascii="Arial" w:eastAsiaTheme="minorHAnsi" w:hAnsi="Arial" w:cs="Arial"/>
          <w:sz w:val="22"/>
          <w:szCs w:val="22"/>
          <w:lang w:eastAsia="en-US"/>
        </w:rPr>
      </w:pPr>
      <w:r w:rsidRPr="00F762D9">
        <w:rPr>
          <w:rFonts w:ascii="Arial" w:eastAsiaTheme="minorHAnsi" w:hAnsi="Arial" w:cs="Arial"/>
          <w:sz w:val="22"/>
          <w:szCs w:val="22"/>
          <w:lang w:eastAsia="en-US"/>
        </w:rPr>
        <w:t xml:space="preserve">V rámci Pověřovacího aktu se veřejnou podporou míní vyrovnávací platba (čisté náklady SOHZ sociální bydlení). Účelem dotace je pořízení bytu (bytů) umožňující poskytovat sociální bydlení osobám v bytové nouzi formou SOHZ sociální bydlení. </w:t>
      </w:r>
    </w:p>
    <w:p w14:paraId="7DB35E58" w14:textId="77777777" w:rsidR="006D31E9" w:rsidRPr="00F762D9" w:rsidRDefault="006D31E9" w:rsidP="00F762D9">
      <w:pPr>
        <w:pStyle w:val="Odstavecseseznamem"/>
        <w:numPr>
          <w:ilvl w:val="0"/>
          <w:numId w:val="6"/>
        </w:numPr>
        <w:spacing w:line="271" w:lineRule="auto"/>
        <w:ind w:left="714" w:hanging="357"/>
        <w:rPr>
          <w:rFonts w:ascii="Arial" w:eastAsiaTheme="minorHAnsi" w:hAnsi="Arial" w:cs="Arial"/>
          <w:sz w:val="22"/>
          <w:szCs w:val="22"/>
          <w:lang w:eastAsia="en-US"/>
        </w:rPr>
      </w:pPr>
      <w:r w:rsidRPr="00F762D9">
        <w:rPr>
          <w:rFonts w:ascii="Arial" w:eastAsiaTheme="minorHAnsi" w:hAnsi="Arial" w:cs="Arial"/>
          <w:sz w:val="22"/>
          <w:szCs w:val="22"/>
          <w:lang w:eastAsia="en-US"/>
        </w:rPr>
        <w:t>SOHZ sociálního bydlení představuje pronájem bytové jednotky za</w:t>
      </w:r>
      <w:r w:rsidRPr="00F762D9">
        <w:rPr>
          <w:rFonts w:ascii="Arial" w:eastAsiaTheme="minorHAnsi" w:hAnsi="Arial" w:cs="Arial"/>
          <w:sz w:val="22"/>
          <w:szCs w:val="22"/>
        </w:rPr>
        <w:t xml:space="preserve"> stanovené nájemné a podmínek vymezených v</w:t>
      </w:r>
      <w:r w:rsidR="00BA1A00" w:rsidRPr="00F762D9">
        <w:rPr>
          <w:rFonts w:ascii="Arial" w:eastAsiaTheme="minorHAnsi" w:hAnsi="Arial" w:cs="Arial"/>
          <w:sz w:val="22"/>
          <w:szCs w:val="22"/>
        </w:rPr>
        <w:t>e</w:t>
      </w:r>
      <w:r w:rsidRPr="00F762D9">
        <w:rPr>
          <w:rFonts w:ascii="Arial" w:eastAsiaTheme="minorHAnsi" w:hAnsi="Arial" w:cs="Arial"/>
          <w:sz w:val="22"/>
          <w:szCs w:val="22"/>
        </w:rPr>
        <w:t xml:space="preserve"> </w:t>
      </w:r>
      <w:r w:rsidR="00BA1A00" w:rsidRPr="00F762D9">
        <w:rPr>
          <w:rFonts w:ascii="Arial" w:eastAsiaTheme="minorHAnsi" w:hAnsi="Arial" w:cs="Arial"/>
          <w:sz w:val="22"/>
          <w:szCs w:val="22"/>
          <w:lang w:eastAsia="en-US"/>
        </w:rPr>
        <w:t>Specifických pravidlech</w:t>
      </w:r>
      <w:r w:rsidRPr="00F762D9">
        <w:rPr>
          <w:rFonts w:ascii="Arial" w:eastAsiaTheme="minorHAnsi" w:hAnsi="Arial" w:cs="Arial"/>
          <w:sz w:val="22"/>
          <w:szCs w:val="22"/>
          <w:lang w:eastAsia="en-US"/>
        </w:rPr>
        <w:t xml:space="preserve">. </w:t>
      </w:r>
    </w:p>
    <w:p w14:paraId="7F44C531" w14:textId="77777777" w:rsidR="006D31E9" w:rsidRPr="00F762D9" w:rsidRDefault="006D31E9" w:rsidP="00F762D9">
      <w:pPr>
        <w:pStyle w:val="Odstavecseseznamem"/>
        <w:numPr>
          <w:ilvl w:val="0"/>
          <w:numId w:val="6"/>
        </w:numPr>
        <w:spacing w:line="271" w:lineRule="auto"/>
        <w:ind w:left="714" w:hanging="357"/>
        <w:rPr>
          <w:rFonts w:ascii="Arial" w:eastAsiaTheme="minorHAnsi" w:hAnsi="Arial" w:cs="Arial"/>
          <w:sz w:val="22"/>
          <w:szCs w:val="22"/>
          <w:lang w:eastAsia="en-US"/>
        </w:rPr>
      </w:pPr>
      <w:r w:rsidRPr="00F762D9">
        <w:rPr>
          <w:rFonts w:ascii="Arial" w:eastAsiaTheme="minorHAnsi" w:hAnsi="Arial" w:cs="Arial"/>
          <w:sz w:val="22"/>
          <w:szCs w:val="22"/>
          <w:lang w:eastAsia="en-US"/>
        </w:rPr>
        <w:t>Stanovené nájemné je nájemné určené poskytovatelem, které nepřevýší maximální limit nájemného, určený v</w:t>
      </w:r>
      <w:r w:rsidR="00BA1A00" w:rsidRPr="00F762D9">
        <w:rPr>
          <w:rFonts w:ascii="Arial" w:eastAsiaTheme="minorHAnsi" w:hAnsi="Arial" w:cs="Arial"/>
          <w:sz w:val="22"/>
          <w:szCs w:val="22"/>
          <w:lang w:eastAsia="en-US"/>
        </w:rPr>
        <w:t>e</w:t>
      </w:r>
      <w:r w:rsidRPr="00F762D9">
        <w:rPr>
          <w:rFonts w:ascii="Arial" w:eastAsiaTheme="minorHAnsi" w:hAnsi="Arial" w:cs="Arial"/>
          <w:sz w:val="22"/>
          <w:szCs w:val="22"/>
          <w:lang w:eastAsia="en-US"/>
        </w:rPr>
        <w:t xml:space="preserve"> </w:t>
      </w:r>
      <w:r w:rsidR="00BA1A00" w:rsidRPr="00F762D9">
        <w:rPr>
          <w:rFonts w:ascii="Arial" w:eastAsiaTheme="minorHAnsi" w:hAnsi="Arial" w:cs="Arial"/>
          <w:sz w:val="22"/>
          <w:szCs w:val="22"/>
          <w:lang w:eastAsia="en-US"/>
        </w:rPr>
        <w:t xml:space="preserve">Specifických pravidlech </w:t>
      </w:r>
      <w:r w:rsidRPr="00F762D9">
        <w:rPr>
          <w:rFonts w:ascii="Arial" w:eastAsiaTheme="minorHAnsi" w:hAnsi="Arial" w:cs="Arial"/>
          <w:sz w:val="22"/>
          <w:szCs w:val="22"/>
          <w:lang w:eastAsia="en-US"/>
        </w:rPr>
        <w:t>a za podmínek v</w:t>
      </w:r>
      <w:r w:rsidR="00BA1A00" w:rsidRPr="00F762D9">
        <w:rPr>
          <w:rFonts w:ascii="Arial" w:eastAsiaTheme="minorHAnsi" w:hAnsi="Arial" w:cs="Arial"/>
          <w:sz w:val="22"/>
          <w:szCs w:val="22"/>
          <w:lang w:eastAsia="en-US"/>
        </w:rPr>
        <w:t>e</w:t>
      </w:r>
      <w:r w:rsidRPr="00F762D9">
        <w:rPr>
          <w:rFonts w:ascii="Arial" w:eastAsiaTheme="minorHAnsi" w:hAnsi="Arial" w:cs="Arial"/>
          <w:sz w:val="22"/>
          <w:szCs w:val="22"/>
          <w:lang w:eastAsia="en-US"/>
        </w:rPr>
        <w:t> </w:t>
      </w:r>
      <w:r w:rsidR="00BA1A00" w:rsidRPr="00F762D9">
        <w:rPr>
          <w:rFonts w:ascii="Arial" w:eastAsiaTheme="minorHAnsi" w:hAnsi="Arial" w:cs="Arial"/>
          <w:sz w:val="22"/>
          <w:szCs w:val="22"/>
          <w:lang w:eastAsia="en-US"/>
        </w:rPr>
        <w:t xml:space="preserve">Specifických pravidlech </w:t>
      </w:r>
      <w:r w:rsidRPr="00F762D9">
        <w:rPr>
          <w:rFonts w:ascii="Arial" w:eastAsiaTheme="minorHAnsi" w:hAnsi="Arial" w:cs="Arial"/>
          <w:sz w:val="22"/>
          <w:szCs w:val="22"/>
          <w:lang w:eastAsia="en-US"/>
        </w:rPr>
        <w:t>vyjmenovaných.</w:t>
      </w:r>
    </w:p>
    <w:p w14:paraId="61D12C04" w14:textId="77777777" w:rsidR="006D31E9" w:rsidRPr="00F762D9" w:rsidRDefault="006D31E9" w:rsidP="00F762D9">
      <w:pPr>
        <w:pStyle w:val="Odstavecseseznamem"/>
        <w:numPr>
          <w:ilvl w:val="0"/>
          <w:numId w:val="6"/>
        </w:numPr>
        <w:spacing w:line="271" w:lineRule="auto"/>
        <w:ind w:left="714" w:hanging="357"/>
        <w:rPr>
          <w:rFonts w:ascii="Arial" w:eastAsiaTheme="minorHAnsi" w:hAnsi="Arial" w:cs="Arial"/>
          <w:sz w:val="22"/>
          <w:szCs w:val="22"/>
          <w:lang w:eastAsia="en-US"/>
        </w:rPr>
      </w:pPr>
      <w:r w:rsidRPr="00F762D9">
        <w:rPr>
          <w:rFonts w:ascii="Arial" w:eastAsiaTheme="minorHAnsi" w:hAnsi="Arial" w:cs="Arial"/>
          <w:sz w:val="22"/>
          <w:szCs w:val="22"/>
          <w:lang w:eastAsia="en-US"/>
        </w:rPr>
        <w:t xml:space="preserve">Vyrovnávací platba představuje čisté náklady SOHZ sociální bydlení. Míra spolufinancování z Evropského fondu pro regionální rozvoj a státního rozpočtu je stanovena výzvou. </w:t>
      </w:r>
    </w:p>
    <w:p w14:paraId="5A334806" w14:textId="77777777" w:rsidR="006D31E9" w:rsidRPr="00F762D9" w:rsidRDefault="006D31E9" w:rsidP="00F762D9">
      <w:pPr>
        <w:pStyle w:val="Odstavecseseznamem"/>
        <w:numPr>
          <w:ilvl w:val="0"/>
          <w:numId w:val="6"/>
        </w:numPr>
        <w:spacing w:line="271" w:lineRule="auto"/>
        <w:ind w:left="714" w:hanging="357"/>
        <w:rPr>
          <w:rFonts w:ascii="Arial" w:eastAsiaTheme="minorHAnsi" w:hAnsi="Arial" w:cs="Arial"/>
          <w:sz w:val="22"/>
          <w:szCs w:val="22"/>
        </w:rPr>
      </w:pPr>
      <w:r w:rsidRPr="00F762D9">
        <w:rPr>
          <w:rFonts w:ascii="Arial" w:eastAsiaTheme="minorHAnsi" w:hAnsi="Arial" w:cs="Arial"/>
          <w:sz w:val="22"/>
          <w:szCs w:val="22"/>
          <w:lang w:eastAsia="en-US"/>
        </w:rPr>
        <w:t xml:space="preserve">Dotovány </w:t>
      </w:r>
      <w:r w:rsidRPr="00F762D9">
        <w:rPr>
          <w:rFonts w:ascii="Arial" w:hAnsi="Arial" w:cs="Arial"/>
          <w:sz w:val="22"/>
          <w:szCs w:val="22"/>
        </w:rPr>
        <w:t xml:space="preserve">z rozpočtových prostředků Integrovaného regionálního operačního programu </w:t>
      </w:r>
      <w:r w:rsidRPr="00F762D9">
        <w:rPr>
          <w:rFonts w:ascii="Arial" w:eastAsiaTheme="minorHAnsi" w:hAnsi="Arial" w:cs="Arial"/>
          <w:sz w:val="22"/>
          <w:szCs w:val="22"/>
          <w:lang w:eastAsia="en-US"/>
        </w:rPr>
        <w:t xml:space="preserve">jsou </w:t>
      </w:r>
      <w:r w:rsidR="001235AE" w:rsidRPr="00F762D9">
        <w:rPr>
          <w:rFonts w:ascii="Arial" w:eastAsiaTheme="minorHAnsi" w:hAnsi="Arial" w:cs="Arial"/>
          <w:sz w:val="22"/>
          <w:szCs w:val="22"/>
          <w:lang w:eastAsia="en-US"/>
        </w:rPr>
        <w:t xml:space="preserve">způsobilé </w:t>
      </w:r>
      <w:r w:rsidRPr="00F762D9">
        <w:rPr>
          <w:rFonts w:ascii="Arial" w:eastAsiaTheme="minorHAnsi" w:hAnsi="Arial" w:cs="Arial"/>
          <w:sz w:val="22"/>
          <w:szCs w:val="22"/>
          <w:lang w:eastAsia="en-US"/>
        </w:rPr>
        <w:t xml:space="preserve">výdaje </w:t>
      </w:r>
      <w:r w:rsidR="001235AE" w:rsidRPr="00F762D9">
        <w:rPr>
          <w:rFonts w:ascii="Arial" w:eastAsiaTheme="minorHAnsi" w:hAnsi="Arial" w:cs="Arial"/>
          <w:sz w:val="22"/>
          <w:szCs w:val="22"/>
          <w:lang w:eastAsia="en-US"/>
        </w:rPr>
        <w:t xml:space="preserve">uvedené v kapitole 3.2 </w:t>
      </w:r>
      <w:r w:rsidRPr="00F762D9">
        <w:rPr>
          <w:rFonts w:ascii="Arial" w:eastAsiaTheme="minorHAnsi" w:hAnsi="Arial" w:cs="Arial"/>
          <w:sz w:val="22"/>
          <w:szCs w:val="22"/>
          <w:lang w:eastAsia="en-US"/>
        </w:rPr>
        <w:t>S</w:t>
      </w:r>
      <w:r w:rsidR="00BA1A00" w:rsidRPr="00F762D9">
        <w:rPr>
          <w:rFonts w:ascii="Arial" w:eastAsiaTheme="minorHAnsi" w:hAnsi="Arial" w:cs="Arial"/>
          <w:sz w:val="22"/>
          <w:szCs w:val="22"/>
          <w:lang w:eastAsia="en-US"/>
        </w:rPr>
        <w:t>pecifických pravidel</w:t>
      </w:r>
      <w:r w:rsidRPr="00F762D9">
        <w:rPr>
          <w:rFonts w:ascii="Arial" w:eastAsiaTheme="minorHAnsi" w:hAnsi="Arial" w:cs="Arial"/>
          <w:sz w:val="22"/>
          <w:szCs w:val="22"/>
          <w:lang w:eastAsia="en-US"/>
        </w:rPr>
        <w:t xml:space="preserve">. </w:t>
      </w:r>
    </w:p>
    <w:p w14:paraId="01A66DC0" w14:textId="77777777" w:rsidR="006D31E9" w:rsidRPr="00F762D9" w:rsidRDefault="006D31E9" w:rsidP="4665668D">
      <w:pPr>
        <w:pStyle w:val="Odstavecseseznamem"/>
        <w:numPr>
          <w:ilvl w:val="0"/>
          <w:numId w:val="6"/>
        </w:numPr>
        <w:spacing w:line="271" w:lineRule="auto"/>
        <w:ind w:left="714" w:hanging="357"/>
        <w:rPr>
          <w:rFonts w:ascii="Arial" w:eastAsiaTheme="minorEastAsia" w:hAnsi="Arial" w:cs="Arial"/>
          <w:sz w:val="22"/>
          <w:szCs w:val="22"/>
        </w:rPr>
      </w:pPr>
      <w:r w:rsidRPr="4665668D">
        <w:rPr>
          <w:rFonts w:ascii="Arial" w:eastAsiaTheme="minorEastAsia" w:hAnsi="Arial" w:cs="Arial"/>
          <w:sz w:val="22"/>
          <w:szCs w:val="22"/>
          <w:lang w:eastAsia="en-US"/>
        </w:rPr>
        <w:t xml:space="preserve">Pověřovací akt se uzavírá před vydáním Rozhodnutí o poskytnutí dotace. Platný je okamžikem podpisu oběma stranami. </w:t>
      </w:r>
      <w:r w:rsidRPr="4665668D">
        <w:rPr>
          <w:rFonts w:ascii="Arial" w:eastAsiaTheme="minorEastAsia" w:hAnsi="Arial" w:cs="Arial"/>
          <w:sz w:val="22"/>
          <w:szCs w:val="22"/>
        </w:rPr>
        <w:t>Účinný je okamžikem vydání Rozhodnutí o poskytnutí dotace poskytovateli.</w:t>
      </w:r>
    </w:p>
    <w:p w14:paraId="3E033CFA" w14:textId="77777777" w:rsidR="006D31E9" w:rsidRPr="00F762D9" w:rsidRDefault="006D31E9" w:rsidP="00F762D9">
      <w:pPr>
        <w:spacing w:before="360" w:after="120" w:line="271" w:lineRule="auto"/>
        <w:jc w:val="center"/>
        <w:rPr>
          <w:rFonts w:ascii="Arial" w:hAnsi="Arial" w:cs="Arial"/>
          <w:b/>
          <w:smallCaps/>
        </w:rPr>
      </w:pPr>
      <w:r w:rsidRPr="00F762D9">
        <w:rPr>
          <w:rFonts w:ascii="Arial" w:hAnsi="Arial" w:cs="Arial"/>
          <w:b/>
          <w:smallCaps/>
        </w:rPr>
        <w:t>Článek III.</w:t>
      </w:r>
    </w:p>
    <w:p w14:paraId="46DDBB56" w14:textId="77777777" w:rsidR="006D31E9" w:rsidRPr="00F762D9" w:rsidRDefault="006D31E9" w:rsidP="00F762D9">
      <w:pPr>
        <w:spacing w:line="271" w:lineRule="auto"/>
        <w:jc w:val="center"/>
        <w:rPr>
          <w:rFonts w:ascii="Arial" w:hAnsi="Arial" w:cs="Arial"/>
          <w:b/>
          <w:smallCaps/>
        </w:rPr>
      </w:pPr>
      <w:r w:rsidRPr="00F762D9">
        <w:rPr>
          <w:rFonts w:ascii="Arial" w:hAnsi="Arial" w:cs="Arial"/>
          <w:b/>
          <w:smallCaps/>
        </w:rPr>
        <w:t>Výše poskytnuté vyrovnávací platby</w:t>
      </w:r>
    </w:p>
    <w:p w14:paraId="445638C5" w14:textId="77777777" w:rsidR="006D31E9" w:rsidRPr="00F762D9" w:rsidRDefault="006D31E9" w:rsidP="00F762D9">
      <w:pPr>
        <w:pStyle w:val="Odstavecseseznamem"/>
        <w:numPr>
          <w:ilvl w:val="0"/>
          <w:numId w:val="2"/>
        </w:numPr>
        <w:spacing w:line="271" w:lineRule="auto"/>
        <w:rPr>
          <w:rFonts w:ascii="Arial" w:hAnsi="Arial" w:cs="Arial"/>
          <w:sz w:val="22"/>
          <w:szCs w:val="22"/>
        </w:rPr>
      </w:pPr>
      <w:r w:rsidRPr="00F762D9">
        <w:rPr>
          <w:rFonts w:ascii="Arial" w:hAnsi="Arial" w:cs="Arial"/>
          <w:sz w:val="22"/>
          <w:szCs w:val="22"/>
        </w:rPr>
        <w:t xml:space="preserve">Kompenzační mechanismus představuje rozdíl mezi současnou hodnotou nákladů vynaložených při poskytování SOHZ sociální bydlení a čistým příjmem SOHZ sociálním bydlení za určené referenční období 20 let. </w:t>
      </w:r>
    </w:p>
    <w:p w14:paraId="3461D779" w14:textId="77777777" w:rsidR="006D31E9" w:rsidRPr="00F762D9" w:rsidRDefault="006D31E9" w:rsidP="00F762D9">
      <w:pPr>
        <w:pStyle w:val="Odstavecseseznamem"/>
        <w:spacing w:line="271" w:lineRule="auto"/>
        <w:rPr>
          <w:rFonts w:ascii="Arial" w:hAnsi="Arial" w:cs="Arial"/>
          <w:sz w:val="22"/>
          <w:szCs w:val="22"/>
        </w:rPr>
      </w:pPr>
    </w:p>
    <w:p w14:paraId="60B0EE32" w14:textId="77777777" w:rsidR="006D31E9" w:rsidRPr="00F762D9" w:rsidRDefault="006D31E9" w:rsidP="00F762D9">
      <w:pPr>
        <w:pStyle w:val="Odstavecseseznamem"/>
        <w:pBdr>
          <w:top w:val="single" w:sz="4" w:space="1" w:color="auto"/>
          <w:left w:val="single" w:sz="4" w:space="4" w:color="auto"/>
          <w:bottom w:val="single" w:sz="4" w:space="1" w:color="auto"/>
          <w:right w:val="single" w:sz="4" w:space="22" w:color="auto"/>
        </w:pBdr>
        <w:spacing w:line="271" w:lineRule="auto"/>
        <w:ind w:left="1560" w:right="1701"/>
        <w:jc w:val="left"/>
        <w:rPr>
          <w:rFonts w:ascii="Arial" w:hAnsi="Arial" w:cs="Arial"/>
          <w:sz w:val="22"/>
          <w:szCs w:val="22"/>
        </w:rPr>
      </w:pPr>
      <w:r w:rsidRPr="00F762D9">
        <w:rPr>
          <w:rFonts w:ascii="Arial" w:hAnsi="Arial" w:cs="Arial"/>
          <w:sz w:val="22"/>
          <w:szCs w:val="22"/>
        </w:rPr>
        <w:t xml:space="preserve">Čisté náklady SOHZ sociální bydlení = Náklady na úhradu SOHZ sociální bydlení – Související příjmy SOHZ sociální bydlení </w:t>
      </w:r>
    </w:p>
    <w:p w14:paraId="3CF2D8B6" w14:textId="77777777" w:rsidR="006D31E9" w:rsidRPr="00F762D9" w:rsidRDefault="006D31E9" w:rsidP="00F762D9">
      <w:pPr>
        <w:pStyle w:val="Odstavecseseznamem"/>
        <w:spacing w:line="271" w:lineRule="auto"/>
        <w:ind w:left="1080"/>
        <w:rPr>
          <w:rFonts w:ascii="Arial" w:hAnsi="Arial" w:cs="Arial"/>
          <w:sz w:val="22"/>
          <w:szCs w:val="22"/>
        </w:rPr>
      </w:pPr>
    </w:p>
    <w:p w14:paraId="42013429" w14:textId="77777777" w:rsidR="006D31E9" w:rsidRPr="00F762D9" w:rsidRDefault="006D31E9" w:rsidP="00F762D9">
      <w:pPr>
        <w:pStyle w:val="Odstavecseseznamem"/>
        <w:numPr>
          <w:ilvl w:val="0"/>
          <w:numId w:val="2"/>
        </w:numPr>
        <w:spacing w:line="271" w:lineRule="auto"/>
        <w:rPr>
          <w:rFonts w:ascii="Arial" w:hAnsi="Arial" w:cs="Arial"/>
          <w:sz w:val="22"/>
          <w:szCs w:val="22"/>
        </w:rPr>
      </w:pPr>
      <w:r w:rsidRPr="00F762D9">
        <w:rPr>
          <w:rFonts w:ascii="Arial" w:hAnsi="Arial" w:cs="Arial"/>
          <w:sz w:val="22"/>
          <w:szCs w:val="22"/>
        </w:rPr>
        <w:t>Výše poskytnuté vyrovnávací platby je stanovena jako čisté náklady SOHZ sociální bydlení, které jsou vypláceny v souladu s podmínkami vymezených v</w:t>
      </w:r>
      <w:r w:rsidR="00F762D9" w:rsidRPr="00F762D9">
        <w:rPr>
          <w:rFonts w:ascii="Arial" w:hAnsi="Arial" w:cs="Arial"/>
          <w:sz w:val="22"/>
          <w:szCs w:val="22"/>
        </w:rPr>
        <w:t>e</w:t>
      </w:r>
      <w:r w:rsidRPr="00F762D9">
        <w:rPr>
          <w:rFonts w:ascii="Arial" w:hAnsi="Arial" w:cs="Arial"/>
          <w:sz w:val="22"/>
          <w:szCs w:val="22"/>
        </w:rPr>
        <w:t> </w:t>
      </w:r>
      <w:r w:rsidR="00F762D9" w:rsidRPr="00F762D9">
        <w:rPr>
          <w:rFonts w:ascii="Arial" w:eastAsiaTheme="minorHAnsi" w:hAnsi="Arial" w:cs="Arial"/>
          <w:sz w:val="22"/>
          <w:szCs w:val="22"/>
          <w:lang w:eastAsia="en-US"/>
        </w:rPr>
        <w:t xml:space="preserve">Specifických </w:t>
      </w:r>
      <w:r w:rsidR="00F762D9" w:rsidRPr="00F762D9">
        <w:rPr>
          <w:rFonts w:ascii="Arial" w:eastAsiaTheme="minorHAnsi" w:hAnsi="Arial" w:cs="Arial"/>
          <w:sz w:val="22"/>
          <w:szCs w:val="22"/>
          <w:lang w:eastAsia="en-US"/>
        </w:rPr>
        <w:lastRenderedPageBreak/>
        <w:t>pravidlech</w:t>
      </w:r>
      <w:r w:rsidRPr="00F762D9">
        <w:rPr>
          <w:rFonts w:ascii="Arial" w:hAnsi="Arial" w:cs="Arial"/>
          <w:sz w:val="22"/>
          <w:szCs w:val="22"/>
        </w:rPr>
        <w:t>. Celková vyrovnávací platba pak představuje součet všech poskytnutých vyrovnávacích plateb za dobu trvání tohoto Pověřovacího aktu dle odst. 1 článku VII. Celková výše vyrovnávací platby nesmí přesáhnout rozsah nezbytný k pokrytí čistých nákladů SOHZ sociální bydlení, včetně přiměřeného zisku.</w:t>
      </w:r>
    </w:p>
    <w:p w14:paraId="4DF38DBE" w14:textId="77777777" w:rsidR="006D31E9" w:rsidRPr="00F762D9" w:rsidRDefault="006D31E9" w:rsidP="00F762D9">
      <w:pPr>
        <w:pStyle w:val="Odstavecseseznamem"/>
        <w:numPr>
          <w:ilvl w:val="0"/>
          <w:numId w:val="2"/>
        </w:numPr>
        <w:spacing w:line="271" w:lineRule="auto"/>
        <w:rPr>
          <w:rFonts w:ascii="Arial" w:hAnsi="Arial" w:cs="Arial"/>
          <w:sz w:val="22"/>
          <w:szCs w:val="22"/>
        </w:rPr>
      </w:pPr>
      <w:r w:rsidRPr="00F762D9">
        <w:rPr>
          <w:rFonts w:ascii="Arial" w:hAnsi="Arial" w:cs="Arial"/>
          <w:sz w:val="22"/>
          <w:szCs w:val="22"/>
        </w:rPr>
        <w:t>Vstupní data pro vyhodnocení vyrovnávací platby bude poskytovatel předkládat pověřovateli v souladu s článkem VI bod 5, 6 a 7.</w:t>
      </w:r>
    </w:p>
    <w:p w14:paraId="46050A37" w14:textId="77777777" w:rsidR="006D31E9" w:rsidRPr="00F762D9" w:rsidRDefault="006D31E9" w:rsidP="00F762D9">
      <w:pPr>
        <w:keepNext/>
        <w:spacing w:before="360" w:after="120" w:line="271" w:lineRule="auto"/>
        <w:jc w:val="center"/>
        <w:rPr>
          <w:rFonts w:ascii="Arial" w:hAnsi="Arial" w:cs="Arial"/>
          <w:b/>
          <w:smallCaps/>
        </w:rPr>
      </w:pPr>
      <w:r w:rsidRPr="00F762D9">
        <w:rPr>
          <w:rFonts w:ascii="Arial" w:hAnsi="Arial" w:cs="Arial"/>
          <w:b/>
          <w:smallCaps/>
        </w:rPr>
        <w:t>Článek IV.</w:t>
      </w:r>
    </w:p>
    <w:p w14:paraId="3E0BA1ED" w14:textId="77777777" w:rsidR="006D31E9" w:rsidRPr="00F762D9" w:rsidRDefault="006D31E9" w:rsidP="00F762D9">
      <w:pPr>
        <w:keepNext/>
        <w:spacing w:line="271" w:lineRule="auto"/>
        <w:jc w:val="center"/>
        <w:rPr>
          <w:rFonts w:ascii="Arial" w:hAnsi="Arial" w:cs="Arial"/>
          <w:b/>
          <w:smallCaps/>
        </w:rPr>
      </w:pPr>
      <w:r w:rsidRPr="00F762D9">
        <w:rPr>
          <w:rFonts w:ascii="Arial" w:hAnsi="Arial" w:cs="Arial"/>
          <w:b/>
          <w:smallCaps/>
        </w:rPr>
        <w:t>Vyhodnocování vyrovnávací platby</w:t>
      </w:r>
    </w:p>
    <w:p w14:paraId="5640E60D" w14:textId="77777777" w:rsidR="006D31E9" w:rsidRPr="00F762D9" w:rsidRDefault="006D31E9" w:rsidP="00F762D9">
      <w:pPr>
        <w:pStyle w:val="Odstavecseseznamem"/>
        <w:numPr>
          <w:ilvl w:val="0"/>
          <w:numId w:val="8"/>
        </w:numPr>
        <w:spacing w:line="271" w:lineRule="auto"/>
        <w:ind w:left="720" w:hanging="357"/>
        <w:rPr>
          <w:rFonts w:ascii="Arial" w:hAnsi="Arial" w:cs="Arial"/>
          <w:sz w:val="22"/>
          <w:szCs w:val="22"/>
        </w:rPr>
      </w:pPr>
      <w:r w:rsidRPr="00F762D9">
        <w:rPr>
          <w:rFonts w:ascii="Arial" w:hAnsi="Arial" w:cs="Arial"/>
          <w:sz w:val="22"/>
          <w:szCs w:val="22"/>
        </w:rPr>
        <w:t>Pravidelné vyhodnocování vyrovnávací platby v </w:t>
      </w:r>
      <w:proofErr w:type="spellStart"/>
      <w:r w:rsidRPr="00F762D9">
        <w:rPr>
          <w:rFonts w:ascii="Arial" w:hAnsi="Arial" w:cs="Arial"/>
          <w:sz w:val="22"/>
          <w:szCs w:val="22"/>
        </w:rPr>
        <w:t>třicetišestiměsíčních</w:t>
      </w:r>
      <w:proofErr w:type="spellEnd"/>
      <w:r w:rsidRPr="00F762D9">
        <w:rPr>
          <w:rFonts w:ascii="Arial" w:hAnsi="Arial" w:cs="Arial"/>
          <w:sz w:val="22"/>
          <w:szCs w:val="22"/>
        </w:rPr>
        <w:t xml:space="preserve"> cyklech sleduje skutečný vývoj rozhodujících položek pro určení výše vyrovnávací platby s cílem zjistit, zda nedošlo k </w:t>
      </w:r>
      <w:proofErr w:type="spellStart"/>
      <w:r w:rsidRPr="00F762D9">
        <w:rPr>
          <w:rFonts w:ascii="Arial" w:hAnsi="Arial" w:cs="Arial"/>
          <w:sz w:val="22"/>
          <w:szCs w:val="22"/>
        </w:rPr>
        <w:t>překompenzaci</w:t>
      </w:r>
      <w:proofErr w:type="spellEnd"/>
      <w:r w:rsidRPr="00F762D9">
        <w:rPr>
          <w:rFonts w:ascii="Arial" w:hAnsi="Arial" w:cs="Arial"/>
          <w:sz w:val="22"/>
          <w:szCs w:val="22"/>
        </w:rPr>
        <w:t xml:space="preserve"> (viz odstavec 3 článku IV.).</w:t>
      </w:r>
    </w:p>
    <w:p w14:paraId="11DF7758" w14:textId="77777777" w:rsidR="006D31E9" w:rsidRPr="00F762D9" w:rsidRDefault="006D31E9" w:rsidP="00F762D9">
      <w:pPr>
        <w:spacing w:after="0" w:line="271" w:lineRule="auto"/>
        <w:ind w:left="720"/>
        <w:jc w:val="both"/>
        <w:rPr>
          <w:rFonts w:ascii="Arial" w:hAnsi="Arial" w:cs="Arial"/>
        </w:rPr>
      </w:pPr>
      <w:r w:rsidRPr="00F762D9">
        <w:rPr>
          <w:rFonts w:ascii="Arial" w:hAnsi="Arial" w:cs="Arial"/>
        </w:rPr>
        <w:t>Za účelem kontroly poskytnuté vyrovnávací platby budou porovnávány skutečné příjmy a výdaje</w:t>
      </w:r>
      <w:r w:rsidR="001235AE" w:rsidRPr="00F762D9">
        <w:rPr>
          <w:rFonts w:ascii="Arial" w:hAnsi="Arial" w:cs="Arial"/>
        </w:rPr>
        <w:t>,</w:t>
      </w:r>
      <w:r w:rsidRPr="00F762D9">
        <w:rPr>
          <w:rFonts w:ascii="Arial" w:hAnsi="Arial" w:cs="Arial"/>
        </w:rPr>
        <w:t xml:space="preserve"> tj. porovnání výše skutečně vynaložených nákladů na úhradu SOHZ sociálního bydlení se souvisejícími příjmy SOHZ sociální bydlení za dané období.  </w:t>
      </w:r>
    </w:p>
    <w:p w14:paraId="16EE2F93" w14:textId="77777777" w:rsidR="006D31E9" w:rsidRPr="00F762D9" w:rsidRDefault="006D31E9" w:rsidP="00F762D9">
      <w:pPr>
        <w:pStyle w:val="Odstavecseseznamem"/>
        <w:numPr>
          <w:ilvl w:val="0"/>
          <w:numId w:val="8"/>
        </w:numPr>
        <w:spacing w:line="271" w:lineRule="auto"/>
        <w:ind w:left="720" w:hanging="426"/>
        <w:rPr>
          <w:rFonts w:ascii="Arial" w:hAnsi="Arial" w:cs="Arial"/>
          <w:sz w:val="22"/>
          <w:szCs w:val="22"/>
        </w:rPr>
      </w:pPr>
      <w:r w:rsidRPr="00F762D9">
        <w:rPr>
          <w:rFonts w:ascii="Arial" w:hAnsi="Arial" w:cs="Arial"/>
          <w:sz w:val="22"/>
          <w:szCs w:val="22"/>
        </w:rPr>
        <w:t xml:space="preserve">Rozhodným okamžikem pro zahájení vyhodnocování vyrovnávací platby pro byt (byty) je okamžik, kdy je možné jej pronajmout pro účely SOHZ sociálního bydlení, tzn. doložením protokolu o předání a převzetí díla a kolaudačním souhlasem, podléhají-li mu výstupy projektu, či jiným obdobným řízením. </w:t>
      </w:r>
    </w:p>
    <w:p w14:paraId="09ECDBCE" w14:textId="77777777" w:rsidR="006D31E9" w:rsidRPr="00F762D9" w:rsidRDefault="006D31E9" w:rsidP="00F762D9">
      <w:pPr>
        <w:pStyle w:val="Odstavecseseznamem"/>
        <w:numPr>
          <w:ilvl w:val="0"/>
          <w:numId w:val="8"/>
        </w:numPr>
        <w:spacing w:line="271" w:lineRule="auto"/>
        <w:ind w:left="720"/>
        <w:rPr>
          <w:rFonts w:ascii="Arial" w:eastAsiaTheme="minorHAnsi" w:hAnsi="Arial" w:cs="Arial"/>
          <w:sz w:val="22"/>
          <w:szCs w:val="22"/>
          <w:lang w:eastAsia="en-US"/>
        </w:rPr>
      </w:pPr>
      <w:r w:rsidRPr="00F762D9">
        <w:rPr>
          <w:rFonts w:ascii="Arial" w:eastAsiaTheme="minorHAnsi" w:hAnsi="Arial" w:cs="Arial"/>
          <w:sz w:val="22"/>
          <w:szCs w:val="22"/>
          <w:lang w:eastAsia="en-US"/>
        </w:rPr>
        <w:t xml:space="preserve">Výše vyrovnávací platby se prověřuje vždy po uplynutí </w:t>
      </w:r>
      <w:proofErr w:type="spellStart"/>
      <w:r w:rsidRPr="00F762D9">
        <w:rPr>
          <w:rFonts w:ascii="Arial" w:eastAsiaTheme="minorHAnsi" w:hAnsi="Arial" w:cs="Arial"/>
          <w:sz w:val="22"/>
          <w:szCs w:val="22"/>
          <w:lang w:eastAsia="en-US"/>
        </w:rPr>
        <w:t>třicetišestiměsíčního</w:t>
      </w:r>
      <w:proofErr w:type="spellEnd"/>
      <w:r w:rsidRPr="00F762D9">
        <w:rPr>
          <w:rFonts w:ascii="Arial" w:eastAsiaTheme="minorHAnsi" w:hAnsi="Arial" w:cs="Arial"/>
          <w:sz w:val="22"/>
          <w:szCs w:val="22"/>
          <w:lang w:eastAsia="en-US"/>
        </w:rPr>
        <w:t xml:space="preserve"> cyklu od rozhodného okamžiku během trvání doby pověření a na konci této doby, a to na základě skutečných dat obdržených od Poskytovatele. Způsobilost příjmů a výdajů pro přepočet vyrovnávací platby je 1. 1. 20</w:t>
      </w:r>
      <w:r w:rsidR="001235AE" w:rsidRPr="00F762D9">
        <w:rPr>
          <w:rFonts w:ascii="Arial" w:eastAsiaTheme="minorHAnsi" w:hAnsi="Arial" w:cs="Arial"/>
          <w:sz w:val="22"/>
          <w:szCs w:val="22"/>
          <w:lang w:eastAsia="en-US"/>
        </w:rPr>
        <w:t>21</w:t>
      </w:r>
      <w:r w:rsidRPr="00F762D9">
        <w:rPr>
          <w:rFonts w:ascii="Arial" w:eastAsiaTheme="minorHAnsi" w:hAnsi="Arial" w:cs="Arial"/>
          <w:sz w:val="22"/>
          <w:szCs w:val="22"/>
          <w:lang w:eastAsia="en-US"/>
        </w:rPr>
        <w:t xml:space="preserve">. </w:t>
      </w:r>
    </w:p>
    <w:p w14:paraId="62CD7E1C" w14:textId="77777777" w:rsidR="006D31E9" w:rsidRPr="00F762D9" w:rsidRDefault="006D31E9" w:rsidP="00F762D9">
      <w:pPr>
        <w:pStyle w:val="Odstavecseseznamem"/>
        <w:numPr>
          <w:ilvl w:val="0"/>
          <w:numId w:val="7"/>
        </w:numPr>
        <w:spacing w:line="271" w:lineRule="auto"/>
        <w:ind w:left="1260"/>
        <w:contextualSpacing w:val="0"/>
        <w:rPr>
          <w:rFonts w:ascii="Arial" w:hAnsi="Arial" w:cs="Arial"/>
          <w:sz w:val="22"/>
          <w:szCs w:val="22"/>
        </w:rPr>
      </w:pPr>
      <w:r w:rsidRPr="00F762D9">
        <w:rPr>
          <w:rFonts w:ascii="Arial" w:hAnsi="Arial" w:cs="Arial"/>
          <w:sz w:val="22"/>
          <w:szCs w:val="22"/>
        </w:rPr>
        <w:t>Pokud přepočet zjistí, že poskytovatel obdržel vyrovnávací platbu převyšující rozsah nezbytný k pokrytí čistých nákladů SOHZ sociálního bydlení, došlo k </w:t>
      </w:r>
      <w:proofErr w:type="spellStart"/>
      <w:r w:rsidRPr="00F762D9">
        <w:rPr>
          <w:rFonts w:ascii="Arial" w:hAnsi="Arial" w:cs="Arial"/>
          <w:sz w:val="22"/>
          <w:szCs w:val="22"/>
        </w:rPr>
        <w:t>překompenzaci</w:t>
      </w:r>
      <w:proofErr w:type="spellEnd"/>
      <w:r w:rsidRPr="00F762D9">
        <w:rPr>
          <w:rFonts w:ascii="Arial" w:hAnsi="Arial" w:cs="Arial"/>
          <w:sz w:val="22"/>
          <w:szCs w:val="22"/>
        </w:rPr>
        <w:t xml:space="preserve"> (nadměrné vyrovnávací platbě).</w:t>
      </w:r>
    </w:p>
    <w:p w14:paraId="00CB086E" w14:textId="77777777" w:rsidR="006D31E9" w:rsidRPr="00F762D9" w:rsidRDefault="006D31E9" w:rsidP="00F762D9">
      <w:pPr>
        <w:pStyle w:val="Odstavecseseznamem"/>
        <w:numPr>
          <w:ilvl w:val="0"/>
          <w:numId w:val="7"/>
        </w:numPr>
        <w:spacing w:line="271" w:lineRule="auto"/>
        <w:ind w:left="1260"/>
        <w:contextualSpacing w:val="0"/>
        <w:rPr>
          <w:rFonts w:ascii="Arial" w:hAnsi="Arial" w:cs="Arial"/>
          <w:sz w:val="22"/>
          <w:szCs w:val="22"/>
        </w:rPr>
      </w:pPr>
      <w:r w:rsidRPr="00F762D9">
        <w:rPr>
          <w:rFonts w:ascii="Arial" w:hAnsi="Arial" w:cs="Arial"/>
          <w:sz w:val="22"/>
          <w:szCs w:val="22"/>
        </w:rPr>
        <w:t>Pokud nadměrně vyplacená vyrovnávací platba nepřesahuje 10 % průměrné vyrovnávací platby poměrné 36 měsícům ku celé době pověření, bude přesah převeden do dalšího období.</w:t>
      </w:r>
    </w:p>
    <w:p w14:paraId="3B8D6F4D" w14:textId="77777777" w:rsidR="006D31E9" w:rsidRPr="00F762D9" w:rsidRDefault="006D31E9" w:rsidP="00F762D9">
      <w:pPr>
        <w:pStyle w:val="Odstavecseseznamem"/>
        <w:numPr>
          <w:ilvl w:val="0"/>
          <w:numId w:val="7"/>
        </w:numPr>
        <w:spacing w:line="271" w:lineRule="auto"/>
        <w:ind w:left="1260"/>
        <w:contextualSpacing w:val="0"/>
        <w:rPr>
          <w:rFonts w:ascii="Arial" w:hAnsi="Arial" w:cs="Arial"/>
          <w:sz w:val="22"/>
          <w:szCs w:val="22"/>
        </w:rPr>
      </w:pPr>
      <w:r w:rsidRPr="00F762D9">
        <w:rPr>
          <w:rFonts w:ascii="Arial" w:hAnsi="Arial" w:cs="Arial"/>
          <w:sz w:val="22"/>
          <w:szCs w:val="22"/>
        </w:rPr>
        <w:t>Pokud nadměrně vyplacená vyrovnávací platba přesáhne 10 % průměrné vyrovnávací platby poměrné 36 měsíců ku celé době pověření, poskytovatel vrací neprodleně pověřovateli celou nadměrně vyplacenou částku.</w:t>
      </w:r>
    </w:p>
    <w:p w14:paraId="539FE93A" w14:textId="77777777" w:rsidR="006D31E9" w:rsidRPr="00F762D9" w:rsidRDefault="006D31E9" w:rsidP="00F762D9">
      <w:pPr>
        <w:pStyle w:val="Odstavecseseznamem"/>
        <w:numPr>
          <w:ilvl w:val="0"/>
          <w:numId w:val="7"/>
        </w:numPr>
        <w:spacing w:line="271" w:lineRule="auto"/>
        <w:ind w:left="1260"/>
        <w:contextualSpacing w:val="0"/>
        <w:rPr>
          <w:rFonts w:ascii="Arial" w:hAnsi="Arial" w:cs="Arial"/>
          <w:sz w:val="22"/>
          <w:szCs w:val="22"/>
        </w:rPr>
      </w:pPr>
      <w:r w:rsidRPr="00F762D9">
        <w:rPr>
          <w:rFonts w:ascii="Arial" w:hAnsi="Arial" w:cs="Arial"/>
          <w:sz w:val="22"/>
          <w:szCs w:val="22"/>
        </w:rPr>
        <w:t xml:space="preserve">Pokud přepočet zjistí, že vyrovnávací platba nepokryje čisté náklady SOHZ sociálního bydlení, nemá poskytovatel nárok na dodatečnou kompenzaci. Ztráta se připočítá k dalšímu období. </w:t>
      </w:r>
    </w:p>
    <w:p w14:paraId="13CDF938" w14:textId="77777777" w:rsidR="006D31E9" w:rsidRPr="00F762D9" w:rsidRDefault="006D31E9" w:rsidP="00F762D9">
      <w:pPr>
        <w:spacing w:before="360" w:after="120" w:line="271" w:lineRule="auto"/>
        <w:jc w:val="center"/>
        <w:rPr>
          <w:rFonts w:ascii="Arial" w:hAnsi="Arial" w:cs="Arial"/>
          <w:b/>
          <w:smallCaps/>
        </w:rPr>
      </w:pPr>
      <w:r w:rsidRPr="00F762D9">
        <w:rPr>
          <w:rFonts w:ascii="Arial" w:hAnsi="Arial" w:cs="Arial"/>
          <w:b/>
          <w:smallCaps/>
        </w:rPr>
        <w:t>Článek V.</w:t>
      </w:r>
    </w:p>
    <w:p w14:paraId="42F3FEF2" w14:textId="77777777" w:rsidR="006D31E9" w:rsidRPr="00F762D9" w:rsidRDefault="006D31E9" w:rsidP="00F762D9">
      <w:pPr>
        <w:spacing w:line="271" w:lineRule="auto"/>
        <w:jc w:val="center"/>
        <w:rPr>
          <w:rFonts w:ascii="Arial" w:hAnsi="Arial" w:cs="Arial"/>
          <w:b/>
          <w:smallCaps/>
        </w:rPr>
      </w:pPr>
      <w:r w:rsidRPr="00F762D9">
        <w:rPr>
          <w:rFonts w:ascii="Arial" w:hAnsi="Arial" w:cs="Arial"/>
          <w:b/>
          <w:smallCaps/>
        </w:rPr>
        <w:t xml:space="preserve">Povinnosti poskytovatele </w:t>
      </w:r>
    </w:p>
    <w:p w14:paraId="6A1C74FA" w14:textId="77777777" w:rsidR="006D31E9" w:rsidRPr="00F762D9" w:rsidRDefault="006D31E9" w:rsidP="00F762D9">
      <w:pPr>
        <w:spacing w:line="271" w:lineRule="auto"/>
        <w:ind w:left="360"/>
        <w:rPr>
          <w:rFonts w:ascii="Arial" w:hAnsi="Arial" w:cs="Arial"/>
        </w:rPr>
      </w:pPr>
      <w:r w:rsidRPr="00F762D9">
        <w:rPr>
          <w:rFonts w:ascii="Arial" w:hAnsi="Arial" w:cs="Arial"/>
        </w:rPr>
        <w:t>Poskytovatel se zavazuje:</w:t>
      </w:r>
    </w:p>
    <w:p w14:paraId="174EACC1"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t>Vést řádnou a oddělenou evidenci čerpání vyrovnávací platby v souladu se zákonem č. 563/1991 Sb., o účetnictví, ve znění pozdějších předpisů.</w:t>
      </w:r>
    </w:p>
    <w:p w14:paraId="43E7E11B"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t xml:space="preserve">Vést ve vnitropodnikovém účetnictví příjmy a výdaje spojené s poskytováním SOHZ sociálního bydlení odděleně od příjmů a výdajů spojených s jinými službami. </w:t>
      </w:r>
    </w:p>
    <w:p w14:paraId="283863DF" w14:textId="77777777" w:rsidR="006D31E9" w:rsidRPr="00F762D9" w:rsidRDefault="006D31E9" w:rsidP="00F762D9">
      <w:pPr>
        <w:pStyle w:val="Odstavecseseznamem"/>
        <w:numPr>
          <w:ilvl w:val="0"/>
          <w:numId w:val="9"/>
        </w:numPr>
        <w:spacing w:line="271" w:lineRule="auto"/>
        <w:ind w:left="1062" w:hanging="357"/>
        <w:rPr>
          <w:rFonts w:ascii="Arial" w:hAnsi="Arial" w:cs="Arial"/>
          <w:sz w:val="22"/>
          <w:szCs w:val="22"/>
        </w:rPr>
      </w:pPr>
      <w:r w:rsidRPr="00F762D9">
        <w:rPr>
          <w:rFonts w:ascii="Arial" w:hAnsi="Arial" w:cs="Arial"/>
          <w:sz w:val="22"/>
          <w:szCs w:val="22"/>
        </w:rPr>
        <w:t>Označit originály účetních dokladů viditelným a nesmazatelným způsobem číslem projektu.</w:t>
      </w:r>
    </w:p>
    <w:p w14:paraId="3B5EF80B"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lastRenderedPageBreak/>
        <w:t>Neprodleně oznámit pověřovateli změnu všech identifikačních údajů, uvedených v Pověřovacím aktu.</w:t>
      </w:r>
    </w:p>
    <w:p w14:paraId="3B7FD1B1"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t>Předložit pověřovateli podklady pro kontrolu výše vyrovnávací platby v 36</w:t>
      </w:r>
      <w:r w:rsidR="00F762D9" w:rsidRPr="00F762D9">
        <w:rPr>
          <w:rFonts w:ascii="Arial" w:hAnsi="Arial" w:cs="Arial"/>
          <w:sz w:val="22"/>
          <w:szCs w:val="22"/>
        </w:rPr>
        <w:t>-ti</w:t>
      </w:r>
      <w:r w:rsidRPr="00F762D9">
        <w:rPr>
          <w:rFonts w:ascii="Arial" w:hAnsi="Arial" w:cs="Arial"/>
          <w:sz w:val="22"/>
          <w:szCs w:val="22"/>
        </w:rPr>
        <w:t xml:space="preserve"> měsíčním cyklu.</w:t>
      </w:r>
    </w:p>
    <w:p w14:paraId="51AC0B5E"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t>Podklady pro kontrolu je poskytovatel povinen zaslat pověřovateli nejpozději do šesti měsíců od uplynutí uzavřeného cyklu.</w:t>
      </w:r>
    </w:p>
    <w:p w14:paraId="1ABC95A5"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t>Na základě výzvy pověřovatele je poskytovatel povinen předložit k nahlédnutí originály účetních dokladů souvisejících s čerpáním vyrovnávací platby.</w:t>
      </w:r>
    </w:p>
    <w:p w14:paraId="48206290"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t xml:space="preserve">Poskytovatel se zavazuje v případě převodu majetku, na nějž dotaci získal, na jinou osobu, a rovněž v případě, kdy pořízená investice není či nadále nemůže být využívána pro účely SOHZ sociálního bydlení, vrátit poměrnou část vyrovnávací platby ve výši neumořené hodnoty poskytnuté dotace. </w:t>
      </w:r>
    </w:p>
    <w:p w14:paraId="28FD7B76"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t>Vyzve-li pověřovatel poskytovatele k navrácení zjištěné nadměrně vyplacené vyrovnávací platby, je poskytovatel povinen ve stanovené lhůtě, ne delší než třicet kalendářních dní počínaje následujícím kalendářním měsícem, takto učinit a poukázat platbu na bankovní účet, uvedený pověřovatelem ve výzvě.</w:t>
      </w:r>
    </w:p>
    <w:p w14:paraId="2BB1BB43"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t>Poskytovatel má povinnost uchovávat veškeré doklady vztahující se k uloženému závazku veřejné služby po dobu nejméně 10 let od konce doby pověření.</w:t>
      </w:r>
    </w:p>
    <w:p w14:paraId="1E92160B" w14:textId="77777777" w:rsidR="006D31E9" w:rsidRPr="00F762D9" w:rsidRDefault="006D31E9" w:rsidP="00F762D9">
      <w:pPr>
        <w:spacing w:before="360" w:after="120" w:line="271" w:lineRule="auto"/>
        <w:jc w:val="center"/>
        <w:rPr>
          <w:rFonts w:ascii="Arial" w:hAnsi="Arial" w:cs="Arial"/>
          <w:b/>
          <w:smallCaps/>
        </w:rPr>
      </w:pPr>
      <w:r w:rsidRPr="00F762D9">
        <w:rPr>
          <w:rFonts w:ascii="Arial" w:hAnsi="Arial" w:cs="Arial"/>
          <w:b/>
          <w:smallCaps/>
        </w:rPr>
        <w:t>Článek VI.</w:t>
      </w:r>
    </w:p>
    <w:p w14:paraId="456013DB" w14:textId="77777777" w:rsidR="006D31E9" w:rsidRPr="00F762D9" w:rsidRDefault="006D31E9" w:rsidP="00F762D9">
      <w:pPr>
        <w:spacing w:line="271" w:lineRule="auto"/>
        <w:jc w:val="center"/>
        <w:rPr>
          <w:rFonts w:ascii="Arial" w:hAnsi="Arial" w:cs="Arial"/>
          <w:b/>
          <w:smallCaps/>
        </w:rPr>
      </w:pPr>
      <w:r w:rsidRPr="00F762D9">
        <w:rPr>
          <w:rFonts w:ascii="Arial" w:hAnsi="Arial" w:cs="Arial"/>
          <w:b/>
          <w:smallCaps/>
        </w:rPr>
        <w:t>Kontrola, sankce</w:t>
      </w:r>
    </w:p>
    <w:p w14:paraId="2310657D" w14:textId="7777777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t>Poskytovatel je povinen realizovat nápravná opatření, uložená kontrolním orgánem pověřovatele na základě kontrol zaměřených na plnění závazku SOHZ sociálního bydlení v termínu, rozsahu a kvalitě podle požadavků pověřovatele.</w:t>
      </w:r>
    </w:p>
    <w:p w14:paraId="0763D5F2" w14:textId="7777777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t>Kontrola ze strany pověřovatele se zaměřuje na plnění závazků poskytovatele, vyplývajících z </w:t>
      </w:r>
      <w:r w:rsidR="001235AE" w:rsidRPr="00F762D9">
        <w:rPr>
          <w:rFonts w:ascii="Arial" w:hAnsi="Arial" w:cs="Arial"/>
          <w:sz w:val="22"/>
          <w:szCs w:val="22"/>
        </w:rPr>
        <w:t>P</w:t>
      </w:r>
      <w:r w:rsidRPr="00F762D9">
        <w:rPr>
          <w:rFonts w:ascii="Arial" w:hAnsi="Arial" w:cs="Arial"/>
          <w:sz w:val="22"/>
          <w:szCs w:val="22"/>
        </w:rPr>
        <w:t>ověření, rovněž tak ze závazků, vyplývajících ze SPŽP, jež jsou přílohou č. 1 Pověření.</w:t>
      </w:r>
    </w:p>
    <w:p w14:paraId="376AB120" w14:textId="7777777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t>Poskytovatel je povinen písemně informovat kontrolní orgán pověřovatele, který mu nápravná opatření uložil, o splnění uložených opatření k nápravě v daném termínu, uvedeném v kontrolní zprávě pověřovatele.</w:t>
      </w:r>
    </w:p>
    <w:p w14:paraId="2C620CC5" w14:textId="7777777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t>Pokud poskytovatel nesplní jemu uložená nápravná opatření, je pověřovatel oprávněn vůči poskytovateli předepsat odpovídající finanční sankci a vyžadovat její zaplacení na jím stanovený účet.</w:t>
      </w:r>
    </w:p>
    <w:p w14:paraId="574526DF" w14:textId="77777777" w:rsidR="006D31E9" w:rsidRPr="00F762D9" w:rsidRDefault="006D31E9" w:rsidP="00F762D9">
      <w:pPr>
        <w:pStyle w:val="Odstavecseseznamem"/>
        <w:numPr>
          <w:ilvl w:val="0"/>
          <w:numId w:val="10"/>
        </w:numPr>
        <w:spacing w:line="271" w:lineRule="auto"/>
        <w:rPr>
          <w:rFonts w:ascii="Arial" w:hAnsi="Arial" w:cs="Arial"/>
          <w:sz w:val="22"/>
          <w:szCs w:val="22"/>
        </w:rPr>
      </w:pPr>
      <w:r w:rsidRPr="00F762D9">
        <w:rPr>
          <w:rFonts w:ascii="Arial" w:hAnsi="Arial" w:cs="Arial"/>
          <w:sz w:val="22"/>
          <w:szCs w:val="22"/>
        </w:rPr>
        <w:t>Za nepředložení podkladů pro kontrolu anebo opožděné odevzdání dokumentů po uplynutí dodatečné lhůty je stanovena sankce 1 % z celkové částky vyrovnávací platby, maximálně však 5 000,- Kč za každé porušení.</w:t>
      </w:r>
    </w:p>
    <w:p w14:paraId="0F5C3DE8" w14:textId="2D42DF05" w:rsidR="006D31E9" w:rsidRPr="00F762D9" w:rsidRDefault="006D31E9" w:rsidP="00F762D9">
      <w:pPr>
        <w:pStyle w:val="Odstavecseseznamem"/>
        <w:numPr>
          <w:ilvl w:val="0"/>
          <w:numId w:val="10"/>
        </w:numPr>
        <w:spacing w:line="271" w:lineRule="auto"/>
        <w:rPr>
          <w:rFonts w:ascii="Arial" w:hAnsi="Arial" w:cs="Arial"/>
          <w:sz w:val="22"/>
          <w:szCs w:val="22"/>
        </w:rPr>
      </w:pPr>
      <w:r w:rsidRPr="00F762D9">
        <w:rPr>
          <w:rFonts w:ascii="Arial" w:hAnsi="Arial" w:cs="Arial"/>
          <w:sz w:val="22"/>
          <w:szCs w:val="22"/>
        </w:rPr>
        <w:t>Za překročení maximální hranice pro stanovené nájemné uvedené v příloze č.</w:t>
      </w:r>
      <w:r w:rsidR="00F762D9" w:rsidRPr="00F762D9">
        <w:rPr>
          <w:rFonts w:ascii="Arial" w:hAnsi="Arial" w:cs="Arial"/>
          <w:sz w:val="22"/>
          <w:szCs w:val="22"/>
        </w:rPr>
        <w:t> </w:t>
      </w:r>
      <w:r w:rsidR="00511073" w:rsidRPr="00F762D9">
        <w:rPr>
          <w:rFonts w:ascii="Arial" w:hAnsi="Arial" w:cs="Arial"/>
          <w:sz w:val="22"/>
          <w:szCs w:val="22"/>
        </w:rPr>
        <w:t>1–10</w:t>
      </w:r>
      <w:r w:rsidR="001235AE" w:rsidRPr="00F762D9">
        <w:rPr>
          <w:rFonts w:ascii="Arial" w:hAnsi="Arial" w:cs="Arial"/>
          <w:sz w:val="22"/>
          <w:szCs w:val="22"/>
        </w:rPr>
        <w:t> </w:t>
      </w:r>
      <w:r w:rsidRPr="00F762D9">
        <w:rPr>
          <w:rFonts w:ascii="Arial" w:hAnsi="Arial" w:cs="Arial"/>
          <w:sz w:val="22"/>
          <w:szCs w:val="22"/>
        </w:rPr>
        <w:t>% z celkové částky vyrovnávací platby.</w:t>
      </w:r>
    </w:p>
    <w:p w14:paraId="446B62CF" w14:textId="77777777" w:rsidR="006D31E9" w:rsidRPr="00F762D9" w:rsidRDefault="006D31E9" w:rsidP="00F762D9">
      <w:pPr>
        <w:pStyle w:val="Odstavecseseznamem"/>
        <w:numPr>
          <w:ilvl w:val="0"/>
          <w:numId w:val="10"/>
        </w:numPr>
        <w:spacing w:line="271" w:lineRule="auto"/>
        <w:rPr>
          <w:rFonts w:ascii="Arial" w:hAnsi="Arial" w:cs="Arial"/>
          <w:sz w:val="22"/>
          <w:szCs w:val="22"/>
        </w:rPr>
      </w:pPr>
      <w:r w:rsidRPr="00F762D9">
        <w:rPr>
          <w:rFonts w:ascii="Arial" w:hAnsi="Arial" w:cs="Arial"/>
          <w:sz w:val="22"/>
          <w:szCs w:val="22"/>
        </w:rPr>
        <w:t>Ostatní porušení méně závažného charakteru – 0,5 % z celkové částky vyrovnávací platby, maximálně však 5 000,- Kč za každé porušení.</w:t>
      </w:r>
    </w:p>
    <w:p w14:paraId="4FC6ABA3" w14:textId="7777777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t xml:space="preserve">Pokud poskytovatel uzavře nájemní smlouvu s osobou, která není z cílové skupiny podle </w:t>
      </w:r>
      <w:r w:rsidR="00F762D9" w:rsidRPr="00F762D9">
        <w:rPr>
          <w:rFonts w:ascii="Arial" w:eastAsiaTheme="minorHAnsi" w:hAnsi="Arial" w:cs="Arial"/>
          <w:sz w:val="22"/>
          <w:szCs w:val="22"/>
          <w:lang w:eastAsia="en-US"/>
        </w:rPr>
        <w:t>Specifických pravidel</w:t>
      </w:r>
      <w:r w:rsidR="00F762D9" w:rsidRPr="00F762D9">
        <w:rPr>
          <w:rFonts w:ascii="Arial" w:hAnsi="Arial" w:cs="Arial"/>
          <w:sz w:val="22"/>
          <w:szCs w:val="22"/>
        </w:rPr>
        <w:t xml:space="preserve"> </w:t>
      </w:r>
      <w:r w:rsidRPr="00F762D9">
        <w:rPr>
          <w:rFonts w:ascii="Arial" w:hAnsi="Arial" w:cs="Arial"/>
          <w:sz w:val="22"/>
          <w:szCs w:val="22"/>
        </w:rPr>
        <w:t xml:space="preserve">a zároveň nejsou uspokojeni všichni žadatelé z cílových skupin daných výzvou v dané lokalitě, případně přesáhne maximální povolenou dobu obsazení sociálního bytu osobu mimo cílovou skupinu podle </w:t>
      </w:r>
      <w:r w:rsidR="00F762D9" w:rsidRPr="00F762D9">
        <w:rPr>
          <w:rFonts w:ascii="Arial" w:eastAsiaTheme="minorHAnsi" w:hAnsi="Arial" w:cs="Arial"/>
          <w:sz w:val="22"/>
          <w:szCs w:val="22"/>
          <w:lang w:eastAsia="en-US"/>
        </w:rPr>
        <w:t>Specifických pravidel</w:t>
      </w:r>
      <w:r w:rsidR="00F762D9" w:rsidRPr="00F762D9">
        <w:rPr>
          <w:rFonts w:ascii="Arial" w:hAnsi="Arial" w:cs="Arial"/>
          <w:sz w:val="22"/>
          <w:szCs w:val="22"/>
        </w:rPr>
        <w:t xml:space="preserve"> </w:t>
      </w:r>
      <w:r w:rsidRPr="00F762D9">
        <w:rPr>
          <w:rFonts w:ascii="Arial" w:hAnsi="Arial" w:cs="Arial"/>
          <w:sz w:val="22"/>
          <w:szCs w:val="22"/>
        </w:rPr>
        <w:t xml:space="preserve">v délce 1 roku, pověřovatel předepíše poskytovateli finanční sankci ve výši poměrné části vyrovnávací platby odpovídající délce doby, po kterou není byt obsazen osobou z cílové skupiny.  </w:t>
      </w:r>
    </w:p>
    <w:p w14:paraId="70705677" w14:textId="7777777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lastRenderedPageBreak/>
        <w:t xml:space="preserve">Finanční sankce se mohou pohybovat až do výše poskytnuté celkové vyrovnávací platby. </w:t>
      </w:r>
    </w:p>
    <w:p w14:paraId="5C53AD90" w14:textId="7777777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t>Stanovenou finanční sankci je poskytovatel povinen uhradit na účet pověřovatele, a to nejpozději do dne určeného pověřovatelem. Rozhodným dnem, kdy je stanovená finanční sankce uhrazena, je den vystavení příslušného převodního příkazu poskytovatelem a jeho předání bance poskytovatele k proplacení.</w:t>
      </w:r>
    </w:p>
    <w:p w14:paraId="135E3EA9" w14:textId="7777777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t xml:space="preserve">Je-li poskytovatel v prodlení s návratem stanovené částky z titulu nadměrně vyplacené vyrovnávací platby, anebo z titulu předchozích ustanovení v tomto článku, má pověřovatel nárok na poplatek z prodlení ve výši 1 promile ze stanovené částky za každý i započatý den prodlení, nejvýše však do výše částky přesahující vyrovnávací platbu, respektive stanovené finanční sankce. Poplatek z prodlení se počítá ode dne následujícího, kdy marně uplynula lhůta k zaplacení, stanovená pověřovatelem, v níž pověřovatel uplatnil svůj nárok na vratnou částku, do dne připsání peněžních prostředků na účet pověřovatele. </w:t>
      </w:r>
    </w:p>
    <w:p w14:paraId="3A5161F9" w14:textId="7777777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t>Poruší-li poskytovatel podstatným způsobem povinnosti vyplývající mu z Pověřovacího aktu, je pověřovatel oprávněn od Pověřovacího aktu odstoupit. V případě odstoupení od Pověřovacího aktu je poskytovatel povinen do 15 dnů ode dne doručení výzvy pověřovatele vrátit na účet pověřovatele poměrnou část vyrovnávací platby odpovídající délce doby, po kterou nebyly podmínky plněny bez závad. Za podstatné porušení se považuje:</w:t>
      </w:r>
    </w:p>
    <w:p w14:paraId="7D9A873C" w14:textId="77777777" w:rsidR="006D31E9" w:rsidRPr="00F762D9" w:rsidRDefault="006D31E9" w:rsidP="00F762D9">
      <w:pPr>
        <w:pStyle w:val="Odstavecseseznamem"/>
        <w:numPr>
          <w:ilvl w:val="0"/>
          <w:numId w:val="11"/>
        </w:numPr>
        <w:spacing w:line="271" w:lineRule="auto"/>
        <w:rPr>
          <w:rFonts w:ascii="Arial" w:hAnsi="Arial" w:cs="Arial"/>
          <w:sz w:val="22"/>
          <w:szCs w:val="22"/>
        </w:rPr>
      </w:pPr>
      <w:r w:rsidRPr="00F762D9">
        <w:rPr>
          <w:rFonts w:ascii="Arial" w:hAnsi="Arial" w:cs="Arial"/>
          <w:sz w:val="22"/>
          <w:szCs w:val="22"/>
        </w:rPr>
        <w:t xml:space="preserve">V rozporu s podmínkami opakovaně uzavře nájemní smlouvu s osobou, která nespadá do cílové skupiny. </w:t>
      </w:r>
    </w:p>
    <w:p w14:paraId="6CDFC515" w14:textId="77777777" w:rsidR="006D31E9" w:rsidRPr="00F762D9" w:rsidRDefault="006D31E9" w:rsidP="00F762D9">
      <w:pPr>
        <w:pStyle w:val="Odstavecseseznamem"/>
        <w:numPr>
          <w:ilvl w:val="0"/>
          <w:numId w:val="11"/>
        </w:numPr>
        <w:spacing w:line="271" w:lineRule="auto"/>
        <w:rPr>
          <w:rFonts w:ascii="Arial" w:hAnsi="Arial" w:cs="Arial"/>
          <w:sz w:val="22"/>
          <w:szCs w:val="22"/>
        </w:rPr>
      </w:pPr>
      <w:r w:rsidRPr="00F762D9">
        <w:rPr>
          <w:rFonts w:ascii="Arial" w:hAnsi="Arial" w:cs="Arial"/>
          <w:sz w:val="22"/>
          <w:szCs w:val="22"/>
        </w:rPr>
        <w:t>Převod bytu, který je předmětem tohoto pověření, na jinou osobu, bez souhlasu pověřovatele.</w:t>
      </w:r>
    </w:p>
    <w:p w14:paraId="600325AC" w14:textId="77777777" w:rsidR="006D31E9" w:rsidRPr="00F762D9" w:rsidRDefault="006D31E9" w:rsidP="00F762D9">
      <w:pPr>
        <w:spacing w:before="360" w:after="120" w:line="271" w:lineRule="auto"/>
        <w:jc w:val="center"/>
        <w:rPr>
          <w:rFonts w:ascii="Arial" w:hAnsi="Arial" w:cs="Arial"/>
          <w:b/>
          <w:smallCaps/>
        </w:rPr>
      </w:pPr>
      <w:r w:rsidRPr="00F762D9">
        <w:rPr>
          <w:rFonts w:ascii="Arial" w:hAnsi="Arial" w:cs="Arial"/>
          <w:b/>
          <w:smallCaps/>
        </w:rPr>
        <w:t>Článek VII.</w:t>
      </w:r>
    </w:p>
    <w:p w14:paraId="48E8EBD0" w14:textId="77777777" w:rsidR="006D31E9" w:rsidRPr="00F762D9" w:rsidRDefault="006D31E9" w:rsidP="00F762D9">
      <w:pPr>
        <w:spacing w:line="271" w:lineRule="auto"/>
        <w:jc w:val="center"/>
        <w:rPr>
          <w:rFonts w:ascii="Arial" w:hAnsi="Arial" w:cs="Arial"/>
          <w:b/>
          <w:smallCaps/>
        </w:rPr>
      </w:pPr>
      <w:r w:rsidRPr="00F762D9">
        <w:rPr>
          <w:rFonts w:ascii="Arial" w:hAnsi="Arial" w:cs="Arial"/>
          <w:b/>
          <w:smallCaps/>
        </w:rPr>
        <w:t>Trvání pověřovacího aktu</w:t>
      </w:r>
    </w:p>
    <w:p w14:paraId="7D7ABA1B" w14:textId="77777777" w:rsidR="006D31E9" w:rsidRPr="00F762D9" w:rsidRDefault="006D31E9" w:rsidP="00F762D9">
      <w:pPr>
        <w:pStyle w:val="Odstavecseseznamem"/>
        <w:numPr>
          <w:ilvl w:val="0"/>
          <w:numId w:val="5"/>
        </w:numPr>
        <w:spacing w:line="271" w:lineRule="auto"/>
        <w:rPr>
          <w:rFonts w:ascii="Arial" w:hAnsi="Arial" w:cs="Arial"/>
          <w:sz w:val="22"/>
          <w:szCs w:val="22"/>
        </w:rPr>
      </w:pPr>
      <w:r w:rsidRPr="00F762D9">
        <w:rPr>
          <w:rFonts w:ascii="Arial" w:hAnsi="Arial" w:cs="Arial"/>
          <w:sz w:val="22"/>
          <w:szCs w:val="22"/>
        </w:rPr>
        <w:t xml:space="preserve">Pověřovací akt se uzavírá v kalendářních letech na dobu určitou 20 let.  </w:t>
      </w:r>
    </w:p>
    <w:p w14:paraId="01A708CE" w14:textId="77777777" w:rsidR="006D31E9" w:rsidRPr="00F762D9" w:rsidRDefault="006D31E9" w:rsidP="00F762D9">
      <w:pPr>
        <w:pStyle w:val="Odstavecseseznamem"/>
        <w:numPr>
          <w:ilvl w:val="0"/>
          <w:numId w:val="5"/>
        </w:numPr>
        <w:spacing w:line="271" w:lineRule="auto"/>
        <w:rPr>
          <w:rFonts w:ascii="Arial" w:hAnsi="Arial" w:cs="Arial"/>
          <w:sz w:val="22"/>
          <w:szCs w:val="22"/>
        </w:rPr>
      </w:pPr>
      <w:r w:rsidRPr="00F762D9">
        <w:rPr>
          <w:rFonts w:ascii="Arial" w:hAnsi="Arial" w:cs="Arial"/>
          <w:sz w:val="22"/>
          <w:szCs w:val="22"/>
        </w:rPr>
        <w:t xml:space="preserve">Pověřovací akt vstupuje v platnost okamžikem podpisu oběma stranami a je účinný okamžikem vydání Rozhodnutí o poskytnutí dotace. </w:t>
      </w:r>
    </w:p>
    <w:p w14:paraId="1EF9D05D" w14:textId="77777777" w:rsidR="006D31E9" w:rsidRPr="00F762D9" w:rsidRDefault="006D31E9" w:rsidP="00F762D9">
      <w:pPr>
        <w:pStyle w:val="Odstavecseseznamem"/>
        <w:numPr>
          <w:ilvl w:val="0"/>
          <w:numId w:val="5"/>
        </w:numPr>
        <w:spacing w:line="271" w:lineRule="auto"/>
        <w:rPr>
          <w:rFonts w:ascii="Arial" w:hAnsi="Arial" w:cs="Arial"/>
          <w:sz w:val="22"/>
          <w:szCs w:val="22"/>
        </w:rPr>
      </w:pPr>
      <w:r w:rsidRPr="00F762D9">
        <w:rPr>
          <w:rFonts w:ascii="Arial" w:hAnsi="Arial" w:cs="Arial"/>
          <w:sz w:val="22"/>
          <w:szCs w:val="22"/>
        </w:rPr>
        <w:t xml:space="preserve">Před uplynutím lhůty uvedené v odstavci 1 může být Pověřovací akt ukončen písemnou dohodou smluvních stran, nebo odstoupením od Pověřovacího aktu z důvodu uvedeným v čl. VI. bod 9. </w:t>
      </w:r>
    </w:p>
    <w:p w14:paraId="4F6BCE19" w14:textId="77777777" w:rsidR="006D31E9" w:rsidRPr="00F762D9" w:rsidRDefault="006D31E9" w:rsidP="00F762D9">
      <w:pPr>
        <w:spacing w:before="360" w:after="120" w:line="271" w:lineRule="auto"/>
        <w:jc w:val="center"/>
        <w:rPr>
          <w:rFonts w:ascii="Arial" w:hAnsi="Arial" w:cs="Arial"/>
          <w:b/>
          <w:smallCaps/>
        </w:rPr>
      </w:pPr>
      <w:r w:rsidRPr="00F762D9">
        <w:rPr>
          <w:rFonts w:ascii="Arial" w:hAnsi="Arial" w:cs="Arial"/>
          <w:b/>
          <w:smallCaps/>
        </w:rPr>
        <w:t>Článek VIII.</w:t>
      </w:r>
    </w:p>
    <w:p w14:paraId="43A86AC9" w14:textId="77777777" w:rsidR="006D31E9" w:rsidRPr="00F762D9" w:rsidRDefault="006D31E9" w:rsidP="00F762D9">
      <w:pPr>
        <w:spacing w:line="271" w:lineRule="auto"/>
        <w:jc w:val="center"/>
        <w:rPr>
          <w:rFonts w:ascii="Arial" w:hAnsi="Arial" w:cs="Arial"/>
          <w:b/>
          <w:smallCaps/>
        </w:rPr>
      </w:pPr>
      <w:r w:rsidRPr="00F762D9">
        <w:rPr>
          <w:rFonts w:ascii="Arial" w:hAnsi="Arial" w:cs="Arial"/>
          <w:b/>
          <w:smallCaps/>
        </w:rPr>
        <w:t>Závěrečná ustanovení</w:t>
      </w:r>
    </w:p>
    <w:p w14:paraId="51BB603E" w14:textId="77777777" w:rsidR="006D31E9" w:rsidRPr="00F762D9" w:rsidRDefault="006D31E9" w:rsidP="00F762D9">
      <w:pPr>
        <w:pStyle w:val="Odstavecseseznamem"/>
        <w:numPr>
          <w:ilvl w:val="0"/>
          <w:numId w:val="4"/>
        </w:numPr>
        <w:spacing w:line="271" w:lineRule="auto"/>
        <w:rPr>
          <w:rFonts w:ascii="Arial" w:hAnsi="Arial" w:cs="Arial"/>
          <w:sz w:val="22"/>
          <w:szCs w:val="22"/>
        </w:rPr>
      </w:pPr>
      <w:r w:rsidRPr="00F762D9">
        <w:rPr>
          <w:rFonts w:ascii="Arial" w:hAnsi="Arial" w:cs="Arial"/>
          <w:sz w:val="22"/>
          <w:szCs w:val="22"/>
        </w:rPr>
        <w:t>Poskytovatel prohlašuje a podpisem Pověřovacího aktu stvrzuje, že byl před podpisem Pověřovacího aktu řádně a podrobně seznámen s podmínkami výkonu SOHZ sociálního bydlení, bere na vědomí všechny stanovené podmínky, vyslovuje s nimi svůj bezvýhradný souhlas a zavazuje se k jejich plnění, stejně jako k plnění závazků vyplývajících mu z Pověřovacího aktu.</w:t>
      </w:r>
    </w:p>
    <w:p w14:paraId="6F4C6CE7" w14:textId="77777777" w:rsidR="006D31E9" w:rsidRPr="00F762D9" w:rsidRDefault="006D31E9" w:rsidP="00F762D9">
      <w:pPr>
        <w:pStyle w:val="Odstavecseseznamem"/>
        <w:numPr>
          <w:ilvl w:val="0"/>
          <w:numId w:val="4"/>
        </w:numPr>
        <w:spacing w:line="271" w:lineRule="auto"/>
        <w:rPr>
          <w:rFonts w:ascii="Arial" w:hAnsi="Arial" w:cs="Arial"/>
          <w:sz w:val="22"/>
          <w:szCs w:val="22"/>
        </w:rPr>
      </w:pPr>
      <w:r w:rsidRPr="00F762D9">
        <w:rPr>
          <w:rFonts w:ascii="Arial" w:hAnsi="Arial" w:cs="Arial"/>
          <w:sz w:val="22"/>
          <w:szCs w:val="22"/>
        </w:rPr>
        <w:t>Smluvní strany jsou povinny jednat způsobem, který neohrožuje zájmy smluvních stran, a jsou povinny zdržet se jakékoliv činnosti, která by mohla znemožnit nebo ztížit plnění předmětu Pověřovacího aktu.</w:t>
      </w:r>
    </w:p>
    <w:p w14:paraId="02786F3B" w14:textId="77777777" w:rsidR="006D31E9" w:rsidRPr="00F762D9" w:rsidRDefault="006D31E9" w:rsidP="00F762D9">
      <w:pPr>
        <w:pStyle w:val="Odstavecseseznamem"/>
        <w:numPr>
          <w:ilvl w:val="0"/>
          <w:numId w:val="4"/>
        </w:numPr>
        <w:spacing w:line="271" w:lineRule="auto"/>
        <w:rPr>
          <w:rFonts w:ascii="Arial" w:hAnsi="Arial" w:cs="Arial"/>
          <w:sz w:val="22"/>
          <w:szCs w:val="22"/>
        </w:rPr>
      </w:pPr>
      <w:r w:rsidRPr="00F762D9">
        <w:rPr>
          <w:rFonts w:ascii="Arial" w:hAnsi="Arial" w:cs="Arial"/>
          <w:sz w:val="22"/>
          <w:szCs w:val="22"/>
        </w:rPr>
        <w:t>Jakékoliv změny Pověřovacího aktu lze provádět pouze formou vzestupně číslovaných písemných dodatků na základě dohody obou smluvních stran.</w:t>
      </w:r>
    </w:p>
    <w:p w14:paraId="2E5AE3FF" w14:textId="77777777" w:rsidR="006D31E9" w:rsidRPr="00F762D9" w:rsidRDefault="006D31E9" w:rsidP="00F762D9">
      <w:pPr>
        <w:pStyle w:val="Odstavecseseznamem"/>
        <w:numPr>
          <w:ilvl w:val="0"/>
          <w:numId w:val="4"/>
        </w:numPr>
        <w:spacing w:line="271" w:lineRule="auto"/>
        <w:rPr>
          <w:rFonts w:ascii="Arial" w:hAnsi="Arial" w:cs="Arial"/>
          <w:sz w:val="22"/>
          <w:szCs w:val="22"/>
        </w:rPr>
      </w:pPr>
      <w:r w:rsidRPr="00F762D9">
        <w:rPr>
          <w:rFonts w:ascii="Arial" w:hAnsi="Arial" w:cs="Arial"/>
          <w:sz w:val="22"/>
          <w:szCs w:val="22"/>
        </w:rPr>
        <w:lastRenderedPageBreak/>
        <w:t>Pověřovací akt je sepsán ve 3 vyhotoveních, přičemž všechny mají platnost originálu a každá ze smluvních stran obdrží po jednom vyhotovení. Jedno vyhotovení Pověřovacího aktu obdrží Centrum pro regionální rozvoj ČR.</w:t>
      </w:r>
    </w:p>
    <w:p w14:paraId="5C94C086" w14:textId="77777777" w:rsidR="006D31E9" w:rsidRPr="00F762D9" w:rsidRDefault="006D31E9" w:rsidP="00F762D9">
      <w:pPr>
        <w:pStyle w:val="Odstavecseseznamem"/>
        <w:numPr>
          <w:ilvl w:val="0"/>
          <w:numId w:val="4"/>
        </w:numPr>
        <w:spacing w:line="271" w:lineRule="auto"/>
        <w:rPr>
          <w:rFonts w:ascii="Arial" w:hAnsi="Arial" w:cs="Arial"/>
          <w:sz w:val="22"/>
          <w:szCs w:val="22"/>
        </w:rPr>
      </w:pPr>
      <w:r w:rsidRPr="00F762D9">
        <w:rPr>
          <w:rFonts w:ascii="Arial" w:hAnsi="Arial" w:cs="Arial"/>
          <w:sz w:val="22"/>
          <w:szCs w:val="22"/>
        </w:rPr>
        <w:t>Nedílnou součástí Pověřovacího aktu jsou Specifická pravidla pro žadatele a příjemce platná k datu podepsání Pověřovacího aktu a Model výpočtu kompenzačního mechanismu.</w:t>
      </w:r>
    </w:p>
    <w:p w14:paraId="6517245B" w14:textId="77777777" w:rsidR="006D31E9" w:rsidRPr="00F762D9" w:rsidRDefault="006D31E9" w:rsidP="00F762D9">
      <w:pPr>
        <w:pStyle w:val="Odstavecseseznamem"/>
        <w:numPr>
          <w:ilvl w:val="0"/>
          <w:numId w:val="4"/>
        </w:numPr>
        <w:spacing w:line="271" w:lineRule="auto"/>
        <w:rPr>
          <w:rFonts w:ascii="Arial" w:hAnsi="Arial" w:cs="Arial"/>
          <w:sz w:val="22"/>
          <w:szCs w:val="22"/>
        </w:rPr>
      </w:pPr>
      <w:r w:rsidRPr="00F762D9">
        <w:rPr>
          <w:rFonts w:ascii="Arial" w:hAnsi="Arial" w:cs="Arial"/>
          <w:sz w:val="22"/>
          <w:szCs w:val="22"/>
        </w:rPr>
        <w:t>Obě smluvní strany prohlašují, že Pověřovací akt byl uzavřen a sepsán na základě pravdivých údajů, podle jejich svobodné a vážné vůle, nikoli v tísni a za nápadně nevýhodných podmínek, a na důkaz toho připojují své vlastnoruční podpisy.</w:t>
      </w:r>
    </w:p>
    <w:p w14:paraId="0FB78278" w14:textId="77777777" w:rsidR="006D31E9" w:rsidRPr="00F762D9" w:rsidRDefault="006D31E9" w:rsidP="00F762D9">
      <w:pPr>
        <w:spacing w:line="271" w:lineRule="auto"/>
        <w:rPr>
          <w:rFonts w:ascii="Arial" w:hAnsi="Arial" w:cs="Arial"/>
        </w:rPr>
      </w:pPr>
    </w:p>
    <w:p w14:paraId="2AB623BC" w14:textId="77777777" w:rsidR="006D31E9" w:rsidRPr="00F762D9" w:rsidRDefault="006D31E9" w:rsidP="00F762D9">
      <w:pPr>
        <w:spacing w:line="271" w:lineRule="auto"/>
        <w:rPr>
          <w:rFonts w:ascii="Arial" w:hAnsi="Arial" w:cs="Arial"/>
        </w:rPr>
      </w:pPr>
      <w:r w:rsidRPr="00F762D9">
        <w:rPr>
          <w:rFonts w:ascii="Arial" w:hAnsi="Arial" w:cs="Arial"/>
        </w:rPr>
        <w:t>V …</w:t>
      </w:r>
      <w:r w:rsidR="00F762D9">
        <w:rPr>
          <w:rFonts w:ascii="Arial" w:hAnsi="Arial" w:cs="Arial"/>
        </w:rPr>
        <w:t>……..</w:t>
      </w:r>
      <w:r w:rsidRPr="00F762D9">
        <w:rPr>
          <w:rFonts w:ascii="Arial" w:hAnsi="Arial" w:cs="Arial"/>
        </w:rPr>
        <w:tab/>
        <w:t>Dne ….</w:t>
      </w:r>
    </w:p>
    <w:p w14:paraId="1FC39945" w14:textId="77777777" w:rsidR="006D31E9" w:rsidRPr="00F762D9" w:rsidRDefault="006D31E9" w:rsidP="00F762D9">
      <w:pPr>
        <w:spacing w:after="200" w:line="271" w:lineRule="auto"/>
        <w:rPr>
          <w:rFonts w:ascii="Arial" w:hAnsi="Arial" w:cs="Arial"/>
        </w:rPr>
      </w:pPr>
    </w:p>
    <w:tbl>
      <w:tblPr>
        <w:tblStyle w:val="Mkatabulky"/>
        <w:tblW w:w="0" w:type="auto"/>
        <w:tblBorders>
          <w:top w:val="none" w:sz="0" w:space="0" w:color="auto"/>
          <w:left w:val="none" w:sz="0" w:space="0" w:color="auto"/>
          <w:bottom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3193"/>
        <w:gridCol w:w="2718"/>
        <w:gridCol w:w="3161"/>
      </w:tblGrid>
      <w:tr w:rsidR="001235AE" w:rsidRPr="00F762D9" w14:paraId="0562CB0E" w14:textId="77777777" w:rsidTr="001235AE">
        <w:tc>
          <w:tcPr>
            <w:tcW w:w="3193" w:type="dxa"/>
          </w:tcPr>
          <w:p w14:paraId="34CE0A41" w14:textId="77777777" w:rsidR="001235AE" w:rsidRPr="00F762D9" w:rsidRDefault="001235AE" w:rsidP="00F762D9">
            <w:pPr>
              <w:spacing w:after="200" w:line="271" w:lineRule="auto"/>
              <w:rPr>
                <w:rFonts w:ascii="Arial" w:hAnsi="Arial" w:cs="Arial"/>
              </w:rPr>
            </w:pPr>
          </w:p>
        </w:tc>
        <w:tc>
          <w:tcPr>
            <w:tcW w:w="2718" w:type="dxa"/>
            <w:tcBorders>
              <w:top w:val="nil"/>
              <w:bottom w:val="nil"/>
            </w:tcBorders>
          </w:tcPr>
          <w:p w14:paraId="62EBF3C5" w14:textId="77777777" w:rsidR="001235AE" w:rsidRPr="00F762D9" w:rsidRDefault="001235AE" w:rsidP="00F762D9">
            <w:pPr>
              <w:spacing w:after="200" w:line="271" w:lineRule="auto"/>
              <w:rPr>
                <w:rFonts w:ascii="Arial" w:hAnsi="Arial" w:cs="Arial"/>
              </w:rPr>
            </w:pPr>
          </w:p>
        </w:tc>
        <w:tc>
          <w:tcPr>
            <w:tcW w:w="3161" w:type="dxa"/>
          </w:tcPr>
          <w:p w14:paraId="6D98A12B" w14:textId="77777777" w:rsidR="001235AE" w:rsidRPr="00F762D9" w:rsidRDefault="001235AE" w:rsidP="00F762D9">
            <w:pPr>
              <w:spacing w:after="200" w:line="271" w:lineRule="auto"/>
              <w:rPr>
                <w:rFonts w:ascii="Arial" w:hAnsi="Arial" w:cs="Arial"/>
              </w:rPr>
            </w:pPr>
          </w:p>
        </w:tc>
      </w:tr>
      <w:tr w:rsidR="001235AE" w:rsidRPr="00F762D9" w14:paraId="5D624C52" w14:textId="77777777" w:rsidTr="001235AE">
        <w:tc>
          <w:tcPr>
            <w:tcW w:w="3193" w:type="dxa"/>
          </w:tcPr>
          <w:p w14:paraId="6375E2EB" w14:textId="77777777" w:rsidR="001235AE" w:rsidRPr="00F762D9" w:rsidRDefault="001235AE" w:rsidP="00F762D9">
            <w:pPr>
              <w:spacing w:after="200" w:line="271" w:lineRule="auto"/>
              <w:jc w:val="center"/>
              <w:rPr>
                <w:rFonts w:ascii="Arial" w:hAnsi="Arial" w:cs="Arial"/>
              </w:rPr>
            </w:pPr>
            <w:r w:rsidRPr="00F762D9">
              <w:rPr>
                <w:rFonts w:ascii="Arial" w:hAnsi="Arial" w:cs="Arial"/>
              </w:rPr>
              <w:t>Poskytovatel</w:t>
            </w:r>
          </w:p>
        </w:tc>
        <w:tc>
          <w:tcPr>
            <w:tcW w:w="2718" w:type="dxa"/>
            <w:tcBorders>
              <w:top w:val="nil"/>
              <w:bottom w:val="nil"/>
            </w:tcBorders>
          </w:tcPr>
          <w:p w14:paraId="2946DB82" w14:textId="77777777" w:rsidR="001235AE" w:rsidRPr="00F762D9" w:rsidRDefault="001235AE" w:rsidP="00F762D9">
            <w:pPr>
              <w:spacing w:after="200" w:line="271" w:lineRule="auto"/>
              <w:jc w:val="center"/>
              <w:rPr>
                <w:rFonts w:ascii="Arial" w:hAnsi="Arial" w:cs="Arial"/>
              </w:rPr>
            </w:pPr>
          </w:p>
        </w:tc>
        <w:tc>
          <w:tcPr>
            <w:tcW w:w="3161" w:type="dxa"/>
          </w:tcPr>
          <w:p w14:paraId="2E13262D" w14:textId="77777777" w:rsidR="001235AE" w:rsidRPr="00F762D9" w:rsidRDefault="001235AE" w:rsidP="00F762D9">
            <w:pPr>
              <w:spacing w:after="200" w:line="271" w:lineRule="auto"/>
              <w:jc w:val="center"/>
              <w:rPr>
                <w:rFonts w:ascii="Arial" w:hAnsi="Arial" w:cs="Arial"/>
              </w:rPr>
            </w:pPr>
            <w:r w:rsidRPr="00F762D9">
              <w:rPr>
                <w:rFonts w:ascii="Arial" w:hAnsi="Arial" w:cs="Arial"/>
              </w:rPr>
              <w:t>Pověřovatel</w:t>
            </w:r>
          </w:p>
        </w:tc>
      </w:tr>
    </w:tbl>
    <w:p w14:paraId="5997CC1D" w14:textId="77777777" w:rsidR="006D31E9" w:rsidRPr="00F762D9" w:rsidRDefault="006D31E9" w:rsidP="00F762D9">
      <w:pPr>
        <w:spacing w:after="200" w:line="271" w:lineRule="auto"/>
        <w:rPr>
          <w:rFonts w:ascii="Arial" w:hAnsi="Arial" w:cs="Arial"/>
        </w:rPr>
      </w:pPr>
    </w:p>
    <w:p w14:paraId="664A32C8" w14:textId="77777777" w:rsidR="006D31E9" w:rsidRPr="00F762D9" w:rsidRDefault="006D31E9" w:rsidP="00F762D9">
      <w:pPr>
        <w:spacing w:after="200" w:line="271" w:lineRule="auto"/>
        <w:rPr>
          <w:rFonts w:ascii="Arial" w:hAnsi="Arial" w:cs="Arial"/>
        </w:rPr>
      </w:pPr>
      <w:r w:rsidRPr="00F762D9">
        <w:rPr>
          <w:rFonts w:ascii="Arial" w:hAnsi="Arial" w:cs="Arial"/>
        </w:rPr>
        <w:t>Příloha č. 1 – Specifická pravidla pro žadatele a příjemce dotace</w:t>
      </w:r>
    </w:p>
    <w:p w14:paraId="2CA61D55" w14:textId="77777777" w:rsidR="006D31E9" w:rsidRPr="00F762D9" w:rsidRDefault="006D31E9" w:rsidP="00F762D9">
      <w:pPr>
        <w:spacing w:after="200" w:line="271" w:lineRule="auto"/>
        <w:rPr>
          <w:rFonts w:ascii="Arial" w:hAnsi="Arial" w:cs="Arial"/>
        </w:rPr>
      </w:pPr>
      <w:r w:rsidRPr="00F762D9">
        <w:rPr>
          <w:rFonts w:ascii="Arial" w:hAnsi="Arial" w:cs="Arial"/>
        </w:rPr>
        <w:t>Příloha č. 2 – Model výpočtu kompenzačního mechanismu</w:t>
      </w:r>
    </w:p>
    <w:p w14:paraId="110FFD37" w14:textId="77777777" w:rsidR="00C167EE" w:rsidRDefault="00C167EE"/>
    <w:sectPr w:rsidR="00C167EE" w:rsidSect="004B58B5">
      <w:headerReference w:type="default" r:id="rId14"/>
      <w:headerReference w:type="first" r:id="rId15"/>
      <w:footerReference w:type="first" r:id="rId16"/>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DCEAD" w14:textId="77777777" w:rsidR="006D31E9" w:rsidRDefault="006D31E9" w:rsidP="006D31E9">
      <w:pPr>
        <w:spacing w:after="0" w:line="240" w:lineRule="auto"/>
      </w:pPr>
      <w:r>
        <w:separator/>
      </w:r>
    </w:p>
  </w:endnote>
  <w:endnote w:type="continuationSeparator" w:id="0">
    <w:p w14:paraId="6BB9E253" w14:textId="77777777" w:rsidR="006D31E9" w:rsidRDefault="006D31E9" w:rsidP="006D31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1554234"/>
      <w:docPartObj>
        <w:docPartGallery w:val="Page Numbers (Bottom of Page)"/>
        <w:docPartUnique/>
      </w:docPartObj>
    </w:sdtPr>
    <w:sdtEndPr/>
    <w:sdtContent>
      <w:p w14:paraId="5DC1C3B9" w14:textId="77777777" w:rsidR="00BA1A00" w:rsidRDefault="00BA1A00">
        <w:pPr>
          <w:pStyle w:val="Zpat"/>
          <w:jc w:val="right"/>
        </w:pPr>
        <w:r>
          <w:fldChar w:fldCharType="begin"/>
        </w:r>
        <w:r>
          <w:instrText>PAGE   \* MERGEFORMAT</w:instrText>
        </w:r>
        <w:r>
          <w:fldChar w:fldCharType="separate"/>
        </w:r>
        <w:r>
          <w:t>2</w:t>
        </w:r>
        <w:r>
          <w:fldChar w:fldCharType="end"/>
        </w:r>
      </w:p>
    </w:sdtContent>
  </w:sdt>
  <w:p w14:paraId="6DFB9E20" w14:textId="77777777" w:rsidR="00BA1A00" w:rsidRDefault="00BA1A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59315" w14:textId="77777777" w:rsidR="004B58B5" w:rsidRDefault="004B58B5">
    <w:pPr>
      <w:pStyle w:val="Zpat"/>
      <w:jc w:val="right"/>
    </w:pPr>
  </w:p>
  <w:p w14:paraId="6537F28F" w14:textId="77777777" w:rsidR="004B58B5" w:rsidRDefault="004B58B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546F9" w14:textId="77777777" w:rsidR="004B58B5" w:rsidRDefault="004B58B5">
    <w:pPr>
      <w:pStyle w:val="Zpat"/>
      <w:jc w:val="right"/>
    </w:pPr>
    <w:r>
      <w:fldChar w:fldCharType="begin"/>
    </w:r>
    <w:r>
      <w:instrText>PAGE   \* MERGEFORMAT</w:instrText>
    </w:r>
    <w:r>
      <w:fldChar w:fldCharType="separate"/>
    </w:r>
    <w:r>
      <w:t>2</w:t>
    </w:r>
    <w:r>
      <w:fldChar w:fldCharType="end"/>
    </w:r>
  </w:p>
  <w:p w14:paraId="1F72F646" w14:textId="77777777" w:rsidR="004B58B5" w:rsidRDefault="004B58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47A01" w14:textId="77777777" w:rsidR="006D31E9" w:rsidRDefault="006D31E9" w:rsidP="006D31E9">
      <w:pPr>
        <w:spacing w:after="0" w:line="240" w:lineRule="auto"/>
      </w:pPr>
      <w:r>
        <w:separator/>
      </w:r>
    </w:p>
  </w:footnote>
  <w:footnote w:type="continuationSeparator" w:id="0">
    <w:p w14:paraId="5043CB0F" w14:textId="77777777" w:rsidR="006D31E9" w:rsidRDefault="006D31E9" w:rsidP="006D31E9">
      <w:pPr>
        <w:spacing w:after="0" w:line="240" w:lineRule="auto"/>
      </w:pPr>
      <w:r>
        <w:continuationSeparator/>
      </w:r>
    </w:p>
  </w:footnote>
  <w:footnote w:id="1">
    <w:p w14:paraId="257C5BD8" w14:textId="77777777" w:rsidR="006D31E9" w:rsidRPr="005C69A9" w:rsidRDefault="006D31E9" w:rsidP="006D31E9">
      <w:pPr>
        <w:pStyle w:val="Textpoznpodarou"/>
        <w:rPr>
          <w:rFonts w:ascii="Arial" w:hAnsi="Arial" w:cs="Arial"/>
          <w:sz w:val="18"/>
          <w:szCs w:val="18"/>
        </w:rPr>
      </w:pPr>
      <w:r w:rsidRPr="005C69A9">
        <w:rPr>
          <w:rStyle w:val="Znakapoznpodarou"/>
          <w:rFonts w:ascii="Arial" w:hAnsi="Arial" w:cs="Arial"/>
          <w:sz w:val="18"/>
          <w:szCs w:val="18"/>
        </w:rPr>
        <w:footnoteRef/>
      </w:r>
      <w:r w:rsidRPr="005C69A9">
        <w:rPr>
          <w:rFonts w:ascii="Arial" w:hAnsi="Arial" w:cs="Arial"/>
          <w:sz w:val="18"/>
          <w:szCs w:val="18"/>
        </w:rPr>
        <w:t xml:space="preserve"> </w:t>
      </w:r>
      <w:proofErr w:type="spellStart"/>
      <w:r w:rsidRPr="005C69A9">
        <w:rPr>
          <w:rFonts w:ascii="Arial" w:hAnsi="Arial" w:cs="Arial"/>
          <w:sz w:val="18"/>
          <w:szCs w:val="18"/>
        </w:rPr>
        <w:t>Úř</w:t>
      </w:r>
      <w:proofErr w:type="spellEnd"/>
      <w:r w:rsidRPr="005C69A9">
        <w:rPr>
          <w:rFonts w:ascii="Arial" w:hAnsi="Arial" w:cs="Arial"/>
          <w:sz w:val="18"/>
          <w:szCs w:val="18"/>
        </w:rPr>
        <w:t xml:space="preserve">. </w:t>
      </w:r>
      <w:proofErr w:type="spellStart"/>
      <w:r w:rsidRPr="005C69A9">
        <w:rPr>
          <w:rFonts w:ascii="Arial" w:hAnsi="Arial" w:cs="Arial"/>
          <w:sz w:val="18"/>
          <w:szCs w:val="18"/>
        </w:rPr>
        <w:t>věst</w:t>
      </w:r>
      <w:proofErr w:type="spellEnd"/>
      <w:r w:rsidRPr="005C69A9">
        <w:rPr>
          <w:rFonts w:ascii="Arial" w:hAnsi="Arial" w:cs="Arial"/>
          <w:sz w:val="18"/>
          <w:szCs w:val="18"/>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99379" w14:textId="77777777" w:rsidR="00BA1A00" w:rsidRDefault="00F762D9" w:rsidP="008A17FD">
    <w:pPr>
      <w:pStyle w:val="Zhlav"/>
      <w:jc w:val="center"/>
    </w:pPr>
    <w:r>
      <w:rPr>
        <w:noProof/>
      </w:rPr>
      <w:drawing>
        <wp:inline distT="0" distB="0" distL="0" distR="0" wp14:anchorId="3D99B301" wp14:editId="07777777">
          <wp:extent cx="5760720" cy="694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3FE9F23F" w14:textId="77777777" w:rsidR="00BA1A00" w:rsidRDefault="00BA1A0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E523C" w14:textId="77777777" w:rsidR="00F762D9" w:rsidRDefault="00F762D9" w:rsidP="008A17FD">
    <w:pPr>
      <w:pStyle w:val="Zhlav"/>
      <w:jc w:val="center"/>
    </w:pPr>
  </w:p>
  <w:p w14:paraId="52E56223" w14:textId="77777777" w:rsidR="00F762D9" w:rsidRDefault="00F762D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E6F91" w14:textId="77777777" w:rsidR="004B58B5" w:rsidRDefault="004B58B5">
    <w:pPr>
      <w:pStyle w:val="Zhlav"/>
    </w:pPr>
    <w:r>
      <w:rPr>
        <w:noProof/>
      </w:rPr>
      <w:drawing>
        <wp:inline distT="0" distB="0" distL="0" distR="0" wp14:anchorId="648F30A1" wp14:editId="64498E37">
          <wp:extent cx="5760720" cy="694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E0E7F"/>
    <w:multiLevelType w:val="hybridMultilevel"/>
    <w:tmpl w:val="7D44FBB8"/>
    <w:lvl w:ilvl="0" w:tplc="C47EBB30">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103616DE"/>
    <w:multiLevelType w:val="hybridMultilevel"/>
    <w:tmpl w:val="2FF88F6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54F1C03"/>
    <w:multiLevelType w:val="hybridMultilevel"/>
    <w:tmpl w:val="46D23C24"/>
    <w:lvl w:ilvl="0" w:tplc="586A605A">
      <w:start w:val="1"/>
      <w:numFmt w:val="decimal"/>
      <w:lvlText w:val="%1."/>
      <w:lvlJc w:val="left"/>
      <w:pPr>
        <w:ind w:left="928" w:hanging="360"/>
      </w:pPr>
      <w:rPr>
        <w:rFonts w:ascii="Arial" w:hAnsi="Arial" w:cs="Arial" w:hint="default"/>
        <w:b w:val="0"/>
        <w:sz w:val="20"/>
        <w:szCs w:val="20"/>
      </w:rPr>
    </w:lvl>
    <w:lvl w:ilvl="1" w:tplc="C47EBB30">
      <w:numFmt w:val="bullet"/>
      <w:lvlText w:val="-"/>
      <w:lvlJc w:val="left"/>
      <w:pPr>
        <w:ind w:left="1648" w:hanging="360"/>
      </w:pPr>
      <w:rPr>
        <w:rFonts w:ascii="Calibri" w:eastAsiaTheme="minorHAnsi" w:hAnsi="Calibri" w:cstheme="minorBidi" w:hint="default"/>
      </w:r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 w15:restartNumberingAfterBreak="0">
    <w:nsid w:val="1E8C0E26"/>
    <w:multiLevelType w:val="hybridMultilevel"/>
    <w:tmpl w:val="5ED238A2"/>
    <w:lvl w:ilvl="0" w:tplc="30D6CEDA">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BAC6C15"/>
    <w:multiLevelType w:val="hybridMultilevel"/>
    <w:tmpl w:val="CE0C5024"/>
    <w:lvl w:ilvl="0" w:tplc="282C688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8EB5CE3"/>
    <w:multiLevelType w:val="hybridMultilevel"/>
    <w:tmpl w:val="6C2C57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AC979FD"/>
    <w:multiLevelType w:val="hybridMultilevel"/>
    <w:tmpl w:val="BD063DA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E64514B"/>
    <w:multiLevelType w:val="hybridMultilevel"/>
    <w:tmpl w:val="108643E6"/>
    <w:lvl w:ilvl="0" w:tplc="AFA005FC">
      <w:start w:val="1"/>
      <w:numFmt w:val="decimal"/>
      <w:lvlText w:val="%1."/>
      <w:lvlJc w:val="left"/>
      <w:pPr>
        <w:ind w:left="360"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8" w15:restartNumberingAfterBreak="0">
    <w:nsid w:val="71035508"/>
    <w:multiLevelType w:val="hybridMultilevel"/>
    <w:tmpl w:val="F47CF8DE"/>
    <w:lvl w:ilvl="0" w:tplc="04050001">
      <w:start w:val="1"/>
      <w:numFmt w:val="bullet"/>
      <w:lvlText w:val=""/>
      <w:lvlJc w:val="left"/>
      <w:pPr>
        <w:ind w:left="1080" w:hanging="360"/>
      </w:pPr>
      <w:rPr>
        <w:rFonts w:ascii="Symbol" w:hAnsi="Symbol" w:hint="default"/>
      </w:rPr>
    </w:lvl>
    <w:lvl w:ilvl="1" w:tplc="C47EBB30">
      <w:numFmt w:val="bullet"/>
      <w:lvlText w:val="-"/>
      <w:lvlJc w:val="left"/>
      <w:pPr>
        <w:ind w:left="1800" w:hanging="360"/>
      </w:pPr>
      <w:rPr>
        <w:rFonts w:ascii="Calibri" w:eastAsiaTheme="minorHAnsi" w:hAnsi="Calibri" w:cstheme="minorBidi"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76765AF8"/>
    <w:multiLevelType w:val="hybridMultilevel"/>
    <w:tmpl w:val="AEF8EE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D85321F"/>
    <w:multiLevelType w:val="hybridMultilevel"/>
    <w:tmpl w:val="A022D6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118521501">
    <w:abstractNumId w:val="5"/>
  </w:num>
  <w:num w:numId="2" w16cid:durableId="647630641">
    <w:abstractNumId w:val="4"/>
  </w:num>
  <w:num w:numId="3" w16cid:durableId="503977091">
    <w:abstractNumId w:val="9"/>
  </w:num>
  <w:num w:numId="4" w16cid:durableId="1963150384">
    <w:abstractNumId w:val="6"/>
  </w:num>
  <w:num w:numId="5" w16cid:durableId="699092478">
    <w:abstractNumId w:val="10"/>
  </w:num>
  <w:num w:numId="6" w16cid:durableId="563757410">
    <w:abstractNumId w:val="2"/>
  </w:num>
  <w:num w:numId="7" w16cid:durableId="905844962">
    <w:abstractNumId w:val="8"/>
  </w:num>
  <w:num w:numId="8" w16cid:durableId="821043184">
    <w:abstractNumId w:val="7"/>
  </w:num>
  <w:num w:numId="9" w16cid:durableId="2119714242">
    <w:abstractNumId w:val="3"/>
  </w:num>
  <w:num w:numId="10" w16cid:durableId="1390761517">
    <w:abstractNumId w:val="1"/>
  </w:num>
  <w:num w:numId="11" w16cid:durableId="3329926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E9"/>
    <w:rsid w:val="001235AE"/>
    <w:rsid w:val="003E6D6B"/>
    <w:rsid w:val="003F442E"/>
    <w:rsid w:val="00495D67"/>
    <w:rsid w:val="004B52BF"/>
    <w:rsid w:val="004B58B5"/>
    <w:rsid w:val="004D4621"/>
    <w:rsid w:val="00511073"/>
    <w:rsid w:val="005C69A9"/>
    <w:rsid w:val="006D31E9"/>
    <w:rsid w:val="007248FD"/>
    <w:rsid w:val="00992F1D"/>
    <w:rsid w:val="009B4C8D"/>
    <w:rsid w:val="00A93C70"/>
    <w:rsid w:val="00BA1A00"/>
    <w:rsid w:val="00C063F5"/>
    <w:rsid w:val="00C167EE"/>
    <w:rsid w:val="00C179C0"/>
    <w:rsid w:val="00D648AA"/>
    <w:rsid w:val="00EC75A8"/>
    <w:rsid w:val="00F762D9"/>
    <w:rsid w:val="00FC175B"/>
    <w:rsid w:val="15BA21C9"/>
    <w:rsid w:val="1BE3D556"/>
    <w:rsid w:val="31103623"/>
    <w:rsid w:val="3208E833"/>
    <w:rsid w:val="4353D2E1"/>
    <w:rsid w:val="4665668D"/>
    <w:rsid w:val="687DC693"/>
    <w:rsid w:val="7639A879"/>
    <w:rsid w:val="7709AF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537FECF"/>
  <w15:chartTrackingRefBased/>
  <w15:docId w15:val="{3BB800E3-0504-4BB1-8597-6E46E6ACC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D31E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6D31E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D31E9"/>
    <w:rPr>
      <w:rFonts w:ascii="Segoe UI" w:hAnsi="Segoe UI" w:cs="Segoe UI"/>
      <w:sz w:val="18"/>
      <w:szCs w:val="18"/>
    </w:rPr>
  </w:style>
  <w:style w:type="paragraph" w:customStyle="1" w:styleId="Zkladnodstavec">
    <w:name w:val="[Základní odstavec]"/>
    <w:basedOn w:val="Normln"/>
    <w:uiPriority w:val="99"/>
    <w:qFormat/>
    <w:rsid w:val="006D31E9"/>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table" w:styleId="Mkatabulky">
    <w:name w:val="Table Grid"/>
    <w:basedOn w:val="Normlntabulka"/>
    <w:uiPriority w:val="59"/>
    <w:rsid w:val="006D31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6D31E9"/>
    <w:pPr>
      <w:spacing w:after="0" w:line="240" w:lineRule="auto"/>
      <w:ind w:left="720"/>
      <w:contextualSpacing/>
      <w:jc w:val="both"/>
    </w:pPr>
    <w:rPr>
      <w:rFonts w:ascii="Times New Roman" w:eastAsia="Times New Roman" w:hAnsi="Times New Roman" w:cs="Times New Roman"/>
      <w:sz w:val="24"/>
      <w:szCs w:val="20"/>
      <w:lang w:eastAsia="cs-CZ"/>
    </w:rPr>
  </w:style>
  <w:style w:type="paragraph" w:styleId="Textpoznpodarou">
    <w:name w:val="footnote text"/>
    <w:basedOn w:val="Normln"/>
    <w:link w:val="TextpoznpodarouChar"/>
    <w:uiPriority w:val="99"/>
    <w:semiHidden/>
    <w:unhideWhenUsed/>
    <w:rsid w:val="006D31E9"/>
    <w:pPr>
      <w:spacing w:after="0" w:line="240" w:lineRule="auto"/>
      <w:jc w:val="both"/>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uiPriority w:val="99"/>
    <w:semiHidden/>
    <w:rsid w:val="006D31E9"/>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6D31E9"/>
    <w:rPr>
      <w:vertAlign w:val="superscript"/>
    </w:rPr>
  </w:style>
  <w:style w:type="paragraph" w:styleId="Zhlav">
    <w:name w:val="header"/>
    <w:basedOn w:val="Normln"/>
    <w:link w:val="ZhlavChar"/>
    <w:uiPriority w:val="99"/>
    <w:unhideWhenUsed/>
    <w:rsid w:val="00BA1A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A1A00"/>
  </w:style>
  <w:style w:type="paragraph" w:styleId="Zpat">
    <w:name w:val="footer"/>
    <w:basedOn w:val="Normln"/>
    <w:link w:val="ZpatChar"/>
    <w:uiPriority w:val="99"/>
    <w:unhideWhenUsed/>
    <w:rsid w:val="00BA1A00"/>
    <w:pPr>
      <w:tabs>
        <w:tab w:val="center" w:pos="4536"/>
        <w:tab w:val="right" w:pos="9072"/>
      </w:tabs>
      <w:spacing w:after="0" w:line="240" w:lineRule="auto"/>
    </w:pPr>
  </w:style>
  <w:style w:type="character" w:customStyle="1" w:styleId="ZpatChar">
    <w:name w:val="Zápatí Char"/>
    <w:basedOn w:val="Standardnpsmoodstavce"/>
    <w:link w:val="Zpat"/>
    <w:uiPriority w:val="99"/>
    <w:rsid w:val="00BA1A00"/>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0693755">
      <w:bodyDiv w:val="1"/>
      <w:marLeft w:val="0"/>
      <w:marRight w:val="0"/>
      <w:marTop w:val="0"/>
      <w:marBottom w:val="0"/>
      <w:divBdr>
        <w:top w:val="none" w:sz="0" w:space="0" w:color="auto"/>
        <w:left w:val="none" w:sz="0" w:space="0" w:color="auto"/>
        <w:bottom w:val="none" w:sz="0" w:space="0" w:color="auto"/>
        <w:right w:val="none" w:sz="0" w:space="0" w:color="auto"/>
      </w:divBdr>
    </w:div>
    <w:div w:id="2100328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405017-A435-43E1-86E3-2F3FFA49063F}">
  <ds:schemaRefs>
    <ds:schemaRef ds:uri="http://schemas.microsoft.com/office/2006/metadata/properties"/>
    <ds:schemaRef ds:uri="http://schemas.microsoft.com/office/infopath/2007/PartnerControls"/>
    <ds:schemaRef ds:uri="96f83003-48fd-4f52-836f-d78a4dd9c06d"/>
  </ds:schemaRefs>
</ds:datastoreItem>
</file>

<file path=customXml/itemProps2.xml><?xml version="1.0" encoding="utf-8"?>
<ds:datastoreItem xmlns:ds="http://schemas.openxmlformats.org/officeDocument/2006/customXml" ds:itemID="{1A0A12C2-89E9-400A-8837-DBA7ADBD9B65}">
  <ds:schemaRefs>
    <ds:schemaRef ds:uri="http://schemas.microsoft.com/sharepoint/v3/contenttype/forms"/>
  </ds:schemaRefs>
</ds:datastoreItem>
</file>

<file path=customXml/itemProps3.xml><?xml version="1.0" encoding="utf-8"?>
<ds:datastoreItem xmlns:ds="http://schemas.openxmlformats.org/officeDocument/2006/customXml" ds:itemID="{CDCD768A-8087-450E-9B44-6932F2ED1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1998</Words>
  <Characters>11789</Characters>
  <Application>Microsoft Office Word</Application>
  <DocSecurity>0</DocSecurity>
  <Lines>98</Lines>
  <Paragraphs>27</Paragraphs>
  <ScaleCrop>false</ScaleCrop>
  <Company>Ministerstvo pro místní rozvoj</Company>
  <LinksUpToDate>false</LinksUpToDate>
  <CharactersWithSpaces>13760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Pávková Lenka</cp:lastModifiedBy>
  <cp:revision>19</cp:revision>
  <dcterms:created xsi:type="dcterms:W3CDTF">2022-08-02T06:43:00Z</dcterms:created>
  <dcterms:modified xsi:type="dcterms:W3CDTF">2024-01-30T08:09:00Z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